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Pr="004B6DCE" w:rsidRDefault="00AB3AA8" w:rsidP="00AB3AA8">
      <w:pPr>
        <w:jc w:val="center"/>
        <w:rPr>
          <w:rFonts w:ascii="Times New Roman" w:hAnsi="Times New Roman"/>
          <w:sz w:val="24"/>
          <w:szCs w:val="22"/>
        </w:rPr>
      </w:pPr>
      <w:r w:rsidRPr="004B6DCE">
        <w:rPr>
          <w:rFonts w:ascii="Times New Roman" w:hAnsi="Times New Roman"/>
          <w:sz w:val="24"/>
        </w:rPr>
        <w:t>BG</w:t>
      </w:r>
    </w:p>
    <w:p w14:paraId="21950E32" w14:textId="77777777" w:rsidR="00AB3AA8" w:rsidRPr="004B6DCE" w:rsidRDefault="00AB3AA8" w:rsidP="00AB3AA8">
      <w:pPr>
        <w:rPr>
          <w:rFonts w:asciiTheme="minorHAnsi" w:hAnsiTheme="minorHAnsi"/>
          <w:sz w:val="22"/>
        </w:rPr>
      </w:pPr>
    </w:p>
    <w:p w14:paraId="7630D4F1" w14:textId="77777777" w:rsidR="00393F1E" w:rsidRPr="004B6DCE" w:rsidRDefault="00393F1E" w:rsidP="00393F1E">
      <w:pPr>
        <w:jc w:val="center"/>
        <w:rPr>
          <w:rFonts w:ascii="Times New Roman" w:hAnsi="Times New Roman"/>
          <w:sz w:val="24"/>
        </w:rPr>
      </w:pPr>
      <w:r w:rsidRPr="004B6DCE">
        <w:rPr>
          <w:rFonts w:ascii="Times New Roman" w:hAnsi="Times New Roman"/>
          <w:sz w:val="24"/>
        </w:rPr>
        <w:t>ПРИЛОЖЕНИЕ II</w:t>
      </w:r>
    </w:p>
    <w:p w14:paraId="4A662760" w14:textId="77777777" w:rsidR="00393F1E" w:rsidRPr="004B6DCE" w:rsidRDefault="00393F1E" w:rsidP="00393F1E">
      <w:pPr>
        <w:jc w:val="center"/>
        <w:rPr>
          <w:rFonts w:ascii="Times New Roman" w:hAnsi="Times New Roman"/>
          <w:sz w:val="24"/>
        </w:rPr>
      </w:pPr>
      <w:r w:rsidRPr="004B6DCE">
        <w:rPr>
          <w:rFonts w:ascii="Times New Roman" w:hAnsi="Times New Roman"/>
          <w:sz w:val="24"/>
        </w:rPr>
        <w:t>„ПРИЛОЖЕНИЕ II</w:t>
      </w:r>
    </w:p>
    <w:p w14:paraId="4C01682A" w14:textId="77777777" w:rsidR="00393F1E" w:rsidRPr="004B6DCE" w:rsidRDefault="00393F1E" w:rsidP="00393F1E">
      <w:pPr>
        <w:jc w:val="center"/>
        <w:rPr>
          <w:rFonts w:ascii="Times New Roman" w:hAnsi="Times New Roman"/>
          <w:b/>
          <w:sz w:val="24"/>
        </w:rPr>
      </w:pPr>
      <w:r w:rsidRPr="004B6DCE">
        <w:rPr>
          <w:rFonts w:ascii="Times New Roman" w:hAnsi="Times New Roman"/>
          <w:b/>
          <w:sz w:val="24"/>
        </w:rPr>
        <w:t>УКАЗАНИЯ ЗА ДОКЛАДВАНЕ НА ИНФОРМАЦИЯ ЗА СОБСТВЕНИТЕ СРЕДСТВА И КАПИТАЛОВИТЕ ИЗИСКВАНИЯ</w:t>
      </w:r>
    </w:p>
    <w:p w14:paraId="6B9B322A" w14:textId="77777777" w:rsidR="00E26A90" w:rsidRPr="004B6DCE" w:rsidRDefault="00E26A90"/>
    <w:p w14:paraId="0A62D0FD" w14:textId="77777777" w:rsidR="00626DD7" w:rsidRPr="004B6DCE" w:rsidRDefault="00626DD7" w:rsidP="00626DD7">
      <w:pPr>
        <w:spacing w:before="0" w:after="0"/>
        <w:jc w:val="left"/>
        <w:rPr>
          <w:rStyle w:val="InstructionsTabelleText"/>
          <w:rFonts w:ascii="Times New Roman" w:hAnsi="Times New Roman"/>
          <w:b/>
          <w:bCs/>
          <w:sz w:val="24"/>
          <w:u w:val="single"/>
        </w:rPr>
      </w:pPr>
      <w:r w:rsidRPr="004B6DCE">
        <w:rPr>
          <w:rStyle w:val="InstructionsTabelleText"/>
          <w:rFonts w:ascii="Times New Roman" w:hAnsi="Times New Roman"/>
          <w:b/>
          <w:sz w:val="24"/>
          <w:u w:val="single"/>
        </w:rPr>
        <w:t>ЧАСТ II: УКАЗАНИЯ ОТНОСНО ОБРАЗЦИТЕ</w:t>
      </w:r>
    </w:p>
    <w:p w14:paraId="0BF83CF9" w14:textId="77777777" w:rsidR="00626DD7" w:rsidRPr="004B6DCE" w:rsidRDefault="00626DD7" w:rsidP="00626DD7">
      <w:pPr>
        <w:spacing w:before="0" w:after="0"/>
        <w:jc w:val="left"/>
        <w:rPr>
          <w:rStyle w:val="InstructionsTabelleText"/>
          <w:rFonts w:ascii="Times New Roman" w:hAnsi="Times New Roman"/>
          <w:sz w:val="24"/>
        </w:rPr>
      </w:pPr>
      <w:r w:rsidRPr="004B6DCE">
        <w:rPr>
          <w:rStyle w:val="InstructionsTabelleText"/>
          <w:rFonts w:ascii="Times New Roman" w:hAnsi="Times New Roman"/>
          <w:sz w:val="24"/>
        </w:rPr>
        <w:t xml:space="preserve"> </w:t>
      </w:r>
    </w:p>
    <w:p w14:paraId="4D47E5BD" w14:textId="77777777" w:rsidR="00626DD7" w:rsidRPr="004B6DCE" w:rsidRDefault="00626DD7" w:rsidP="00626DD7">
      <w:pPr>
        <w:spacing w:before="0" w:after="0"/>
        <w:jc w:val="left"/>
        <w:rPr>
          <w:rStyle w:val="InstructionsTabelleText"/>
          <w:rFonts w:ascii="Times New Roman" w:hAnsi="Times New Roman"/>
          <w:sz w:val="24"/>
        </w:rPr>
      </w:pPr>
      <w:r w:rsidRPr="004B6DCE">
        <w:rPr>
          <w:rStyle w:val="InstructionsTabelleText"/>
          <w:rFonts w:ascii="Times New Roman" w:hAnsi="Times New Roman"/>
          <w:sz w:val="24"/>
        </w:rPr>
        <w:t>(…)</w:t>
      </w:r>
    </w:p>
    <w:p w14:paraId="19E744EA" w14:textId="77777777" w:rsidR="00626DD7" w:rsidRPr="004B6DCE" w:rsidRDefault="00626DD7"/>
    <w:p w14:paraId="3B628AE5" w14:textId="6F51021A" w:rsidR="00FB3D09" w:rsidRPr="004B6DCE" w:rsidRDefault="00582B0D" w:rsidP="00FB3D09">
      <w:pPr>
        <w:pStyle w:val="Instructionsberschrift2"/>
        <w:numPr>
          <w:ilvl w:val="0"/>
          <w:numId w:val="0"/>
        </w:numPr>
        <w:ind w:left="357" w:hanging="357"/>
        <w:rPr>
          <w:rFonts w:ascii="Times New Roman" w:hAnsi="Times New Roman" w:cs="Times New Roman"/>
          <w:sz w:val="24"/>
        </w:rPr>
      </w:pPr>
      <w:r w:rsidRPr="004B6DCE">
        <w:rPr>
          <w:rFonts w:ascii="Times New Roman" w:hAnsi="Times New Roman"/>
          <w:sz w:val="24"/>
        </w:rPr>
        <w:t>C 3.3 Кредитен риск и кредитен риск от контрагента и свободни доставки: Вътрешнорейтингов подход към капиталовите изисквания (CR IRB)</w:t>
      </w:r>
    </w:p>
    <w:p w14:paraId="4E7759A8" w14:textId="77777777" w:rsidR="00FB3D09" w:rsidRPr="004B6DC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sidRPr="004B6DCE">
        <w:rPr>
          <w:rFonts w:ascii="Times New Roman" w:hAnsi="Times New Roman"/>
          <w:sz w:val="24"/>
          <w:u w:val="none"/>
        </w:rPr>
        <w:t>3.3.1.</w:t>
      </w:r>
      <w:r w:rsidRPr="004B6DCE">
        <w:rPr>
          <w:rFonts w:ascii="Times New Roman" w:hAnsi="Times New Roman"/>
          <w:sz w:val="24"/>
          <w:u w:val="none"/>
        </w:rPr>
        <w:tab/>
      </w:r>
      <w:r w:rsidRPr="004B6DCE">
        <w:rPr>
          <w:rFonts w:ascii="Times New Roman" w:hAnsi="Times New Roman"/>
          <w:sz w:val="24"/>
        </w:rPr>
        <w:t>Обхват на образеца CR IRB</w:t>
      </w:r>
      <w:bookmarkEnd w:id="0"/>
      <w:bookmarkEnd w:id="1"/>
      <w:bookmarkEnd w:id="2"/>
    </w:p>
    <w:p w14:paraId="53B757C0" w14:textId="77777777" w:rsidR="00FB3D09" w:rsidRPr="004B6DCE" w:rsidRDefault="00FB3D09" w:rsidP="00FB3D09">
      <w:pPr>
        <w:pStyle w:val="InstructionsText2"/>
        <w:numPr>
          <w:ilvl w:val="0"/>
          <w:numId w:val="0"/>
        </w:numPr>
        <w:ind w:left="993"/>
      </w:pPr>
      <w:r w:rsidRPr="004B6DCE">
        <w:fldChar w:fldCharType="begin"/>
      </w:r>
      <w:r w:rsidRPr="004B6DCE">
        <w:instrText xml:space="preserve"> seq paragraphs </w:instrText>
      </w:r>
      <w:r w:rsidRPr="004B6DCE">
        <w:fldChar w:fldCharType="separate"/>
      </w:r>
      <w:r w:rsidRPr="004B6DCE">
        <w:t>72</w:t>
      </w:r>
      <w:r w:rsidRPr="004B6DCE">
        <w:fldChar w:fldCharType="end"/>
      </w:r>
      <w:r w:rsidRPr="004B6DCE">
        <w:t>.</w:t>
      </w:r>
      <w:r w:rsidRPr="004B6DCE">
        <w:tab/>
        <w:t>В обхвата на образец CR IRB попадат:</w:t>
      </w:r>
    </w:p>
    <w:p w14:paraId="3BAE32CC" w14:textId="77777777" w:rsidR="00FB3D09" w:rsidRPr="004B6DCE" w:rsidRDefault="00FB3D09" w:rsidP="00FB3D09">
      <w:pPr>
        <w:pStyle w:val="InstructionsText2"/>
        <w:numPr>
          <w:ilvl w:val="0"/>
          <w:numId w:val="0"/>
        </w:numPr>
        <w:ind w:left="993"/>
      </w:pPr>
      <w:r w:rsidRPr="004B6DCE">
        <w:t>i)</w:t>
      </w:r>
      <w:r w:rsidRPr="004B6DCE">
        <w:tab/>
        <w:t>Кредитен риск в банковия портфейл, включително:</w:t>
      </w:r>
    </w:p>
    <w:p w14:paraId="24DF91FB" w14:textId="77777777" w:rsidR="00FB3D09" w:rsidRPr="004B6DCE" w:rsidRDefault="00FB3D09" w:rsidP="00FB3D09">
      <w:pPr>
        <w:pStyle w:val="InstructionsText2"/>
        <w:numPr>
          <w:ilvl w:val="0"/>
          <w:numId w:val="0"/>
        </w:numPr>
        <w:ind w:left="993"/>
      </w:pPr>
      <w:r w:rsidRPr="004B6DCE">
        <w:t>кредитен риск от контрагента в банковия портфейл;</w:t>
      </w:r>
    </w:p>
    <w:p w14:paraId="2FF003CE" w14:textId="77777777" w:rsidR="00FB3D09" w:rsidRPr="004B6DCE" w:rsidRDefault="00FB3D09" w:rsidP="00FB3D09">
      <w:pPr>
        <w:pStyle w:val="InstructionsText2"/>
        <w:numPr>
          <w:ilvl w:val="0"/>
          <w:numId w:val="0"/>
        </w:numPr>
        <w:ind w:left="993"/>
      </w:pPr>
      <w:r w:rsidRPr="004B6DCE">
        <w:t>риск от разсейване за закупени вземания;</w:t>
      </w:r>
    </w:p>
    <w:p w14:paraId="25CEC377" w14:textId="77777777" w:rsidR="00FB3D09" w:rsidRPr="004B6DCE" w:rsidRDefault="00FB3D09" w:rsidP="00FB3D09">
      <w:pPr>
        <w:pStyle w:val="InstructionsText2"/>
        <w:numPr>
          <w:ilvl w:val="0"/>
          <w:numId w:val="0"/>
        </w:numPr>
        <w:ind w:left="993"/>
      </w:pPr>
      <w:r w:rsidRPr="004B6DCE">
        <w:t>ii)</w:t>
      </w:r>
      <w:r w:rsidRPr="004B6DCE">
        <w:tab/>
        <w:t>кредитен риск от контрагента в търговския портфейл;</w:t>
      </w:r>
    </w:p>
    <w:p w14:paraId="082D669A" w14:textId="77777777" w:rsidR="00FB3D09" w:rsidRPr="004B6DCE" w:rsidRDefault="00FB3D09" w:rsidP="00FB3D09">
      <w:pPr>
        <w:pStyle w:val="InstructionsText2"/>
        <w:numPr>
          <w:ilvl w:val="0"/>
          <w:numId w:val="0"/>
        </w:numPr>
        <w:ind w:left="993"/>
      </w:pPr>
      <w:r w:rsidRPr="004B6DCE">
        <w:t>iii.</w:t>
      </w:r>
      <w:r w:rsidRPr="004B6DCE">
        <w:tab/>
        <w:t>свободните доставки, които са резултат от всички дейности.</w:t>
      </w:r>
    </w:p>
    <w:p w14:paraId="50C5E887" w14:textId="77777777" w:rsidR="00FB3D09" w:rsidRPr="004B6DCE" w:rsidRDefault="00FB3D09" w:rsidP="00FB3D09">
      <w:pPr>
        <w:pStyle w:val="InstructionsText2"/>
        <w:numPr>
          <w:ilvl w:val="0"/>
          <w:numId w:val="0"/>
        </w:numPr>
        <w:ind w:left="993"/>
      </w:pPr>
      <w:r w:rsidRPr="004B6DCE">
        <w:t>73.</w:t>
      </w:r>
      <w:r w:rsidRPr="004B6DCE">
        <w:tab/>
        <w:t xml:space="preserve">В обхвата на образеца попадат експозициите, за които рисково претегленият размер на експозициите се изчислява съгласно трета част, дял II, глава 3, членове 151—157 от Регламент (ЕС) № 575/2013 (вътрешнорейтингов подход). </w:t>
      </w:r>
    </w:p>
    <w:p w14:paraId="537660ED" w14:textId="77777777" w:rsidR="00FB3D09" w:rsidRPr="004B6DCE" w:rsidRDefault="00FB3D09" w:rsidP="00FB3D09">
      <w:pPr>
        <w:pStyle w:val="InstructionsText2"/>
        <w:numPr>
          <w:ilvl w:val="0"/>
          <w:numId w:val="0"/>
        </w:numPr>
        <w:ind w:left="993"/>
      </w:pPr>
      <w:r w:rsidRPr="004B6DCE">
        <w:fldChar w:fldCharType="begin"/>
      </w:r>
      <w:r w:rsidRPr="004B6DCE">
        <w:instrText xml:space="preserve"> seq paragraphs </w:instrText>
      </w:r>
      <w:r w:rsidRPr="004B6DCE">
        <w:fldChar w:fldCharType="separate"/>
      </w:r>
      <w:r w:rsidRPr="004B6DCE">
        <w:t>74</w:t>
      </w:r>
      <w:r w:rsidRPr="004B6DCE">
        <w:fldChar w:fldCharType="end"/>
      </w:r>
      <w:r w:rsidRPr="004B6DCE">
        <w:t xml:space="preserve">. Образец CR IRB не обхваща следните данни: </w:t>
      </w:r>
    </w:p>
    <w:p w14:paraId="7F7154C9" w14:textId="77777777" w:rsidR="00FB3D09" w:rsidRPr="004B6DCE" w:rsidRDefault="00FB3D09" w:rsidP="00FB3D09">
      <w:pPr>
        <w:pStyle w:val="InstructionsText2"/>
        <w:numPr>
          <w:ilvl w:val="0"/>
          <w:numId w:val="0"/>
        </w:numPr>
        <w:ind w:left="993"/>
      </w:pPr>
      <w:r w:rsidRPr="004B6DCE">
        <w:t>i)</w:t>
      </w:r>
      <w:r w:rsidRPr="004B6DCE">
        <w:tab/>
        <w:t xml:space="preserve">експозициите към капиталови инструменти, които са докладвани в образец CR EQU IRB; </w:t>
      </w:r>
    </w:p>
    <w:p w14:paraId="39CEAA6A" w14:textId="77777777" w:rsidR="00FB3D09" w:rsidRPr="004B6DCE" w:rsidRDefault="00FB3D09" w:rsidP="00FB3D09">
      <w:pPr>
        <w:pStyle w:val="InstructionsText2"/>
        <w:numPr>
          <w:ilvl w:val="0"/>
          <w:numId w:val="0"/>
        </w:numPr>
        <w:ind w:left="993"/>
      </w:pPr>
      <w:r w:rsidRPr="004B6DCE">
        <w:t>ii)</w:t>
      </w:r>
      <w:r w:rsidRPr="004B6DCE">
        <w:tab/>
        <w:t>секюритизиращите позиции, които са докладвани в образци CR SEC SA и/или CR SEC Details;</w:t>
      </w:r>
    </w:p>
    <w:p w14:paraId="486C870A" w14:textId="77777777" w:rsidR="00FB3D09" w:rsidRPr="004B6DCE" w:rsidRDefault="00FB3D09" w:rsidP="00FB3D09">
      <w:pPr>
        <w:pStyle w:val="InstructionsText2"/>
        <w:numPr>
          <w:ilvl w:val="0"/>
          <w:numId w:val="0"/>
        </w:numPr>
        <w:ind w:left="993"/>
      </w:pPr>
      <w:r w:rsidRPr="004B6DCE">
        <w:t>iii.</w:t>
      </w:r>
      <w:r w:rsidRPr="004B6DCE">
        <w:tab/>
        <w:t xml:space="preserve"> „Други активи, които нямат характер на кредитни задължения“, посочени в член 147, параграф 2, буква ж) от Регламент (ЕС) № 575/2013. Рисковото тегло за този клас експозиции е винаги 100 %, освен при касови наличности, еквивалентни парични позиции и експозиции, които са остатъчни стойности от отдадени на лизинг активи, в съответствие с член 156 от Регламент (ЕС) № 575/2013. Рисково претеглените експозиции за този клас експозиции се докладват направо в образец CA;</w:t>
      </w:r>
    </w:p>
    <w:p w14:paraId="06855F02" w14:textId="77777777" w:rsidR="00FB3D09" w:rsidRPr="004B6DCE" w:rsidRDefault="00FB3D09" w:rsidP="00FB3D09">
      <w:pPr>
        <w:pStyle w:val="InstructionsText2"/>
        <w:numPr>
          <w:ilvl w:val="0"/>
          <w:numId w:val="0"/>
        </w:numPr>
        <w:ind w:left="993"/>
      </w:pPr>
      <w:r w:rsidRPr="004B6DCE">
        <w:lastRenderedPageBreak/>
        <w:t>iv)</w:t>
      </w:r>
      <w:r w:rsidRPr="004B6DCE">
        <w:tab/>
        <w:t>риск от корекция на кредитната оценка, който се докладва в образец CVA Risk.</w:t>
      </w:r>
    </w:p>
    <w:p w14:paraId="459A7112" w14:textId="77777777" w:rsidR="00FB3D09" w:rsidRPr="004B6DCE" w:rsidRDefault="00FB3D09" w:rsidP="00FB3D09">
      <w:pPr>
        <w:pStyle w:val="InstructionsText2"/>
        <w:numPr>
          <w:ilvl w:val="0"/>
          <w:numId w:val="0"/>
        </w:numPr>
        <w:ind w:left="993"/>
      </w:pPr>
      <w:r w:rsidRPr="004B6DCE">
        <w:t xml:space="preserve">Образец CR IRB не изисква географска разбивка на експозициите по вътрешнорейтинговия подход според местопребиваването на контрагента. Тази разбивка се докладва в образец CR GB. </w:t>
      </w:r>
    </w:p>
    <w:p w14:paraId="50F092DC" w14:textId="77777777" w:rsidR="00FB3D09" w:rsidRPr="004B6DCE" w:rsidRDefault="00FB3D09" w:rsidP="00FB3D09">
      <w:pPr>
        <w:autoSpaceDE w:val="0"/>
        <w:autoSpaceDN w:val="0"/>
        <w:adjustRightInd w:val="0"/>
        <w:spacing w:before="0" w:after="240"/>
        <w:ind w:left="1418"/>
        <w:jc w:val="left"/>
        <w:rPr>
          <w:rFonts w:ascii="Times New Roman" w:hAnsi="Times New Roman"/>
          <w:sz w:val="24"/>
        </w:rPr>
      </w:pPr>
      <w:r w:rsidRPr="004B6DCE">
        <w:rPr>
          <w:rFonts w:ascii="Times New Roman" w:hAnsi="Times New Roman"/>
          <w:sz w:val="24"/>
        </w:rPr>
        <w:t>Позиции i) и iii) не се прилагат за образец CR IRB 7.</w:t>
      </w:r>
    </w:p>
    <w:p w14:paraId="383EDB2A" w14:textId="77777777" w:rsidR="00FB3D09" w:rsidRPr="004B6DCE" w:rsidRDefault="00FB3D09" w:rsidP="00FB3D09">
      <w:pPr>
        <w:pStyle w:val="InstructionsText2"/>
        <w:numPr>
          <w:ilvl w:val="0"/>
          <w:numId w:val="0"/>
        </w:numPr>
        <w:ind w:left="993"/>
      </w:pPr>
      <w:r w:rsidRPr="004B6DCE">
        <w:fldChar w:fldCharType="begin"/>
      </w:r>
      <w:r w:rsidRPr="004B6DCE">
        <w:instrText>seq paragraphs</w:instrText>
      </w:r>
      <w:r w:rsidRPr="004B6DCE">
        <w:fldChar w:fldCharType="separate"/>
      </w:r>
      <w:r w:rsidRPr="004B6DCE">
        <w:t>75</w:t>
      </w:r>
      <w:r w:rsidRPr="004B6DCE">
        <w:fldChar w:fldCharType="end"/>
      </w:r>
      <w:r w:rsidRPr="004B6DCE">
        <w:t>.</w:t>
      </w:r>
      <w:r w:rsidRPr="004B6DCE">
        <w:tab/>
        <w:t>За да се изясни дали институцията използва собствени оценки на загубата от неизпълнение (параметър LGD) и/или кредитни конверсионни коефициенти, информацията по-долу се предоставя за всеки докладван клас експозиции:</w:t>
      </w:r>
    </w:p>
    <w:p w14:paraId="5E6A9A8B" w14:textId="77777777" w:rsidR="00FB3D09" w:rsidRPr="004B6DCE" w:rsidRDefault="00FB3D09" w:rsidP="00FB3D09">
      <w:pPr>
        <w:autoSpaceDE w:val="0"/>
        <w:autoSpaceDN w:val="0"/>
        <w:adjustRightInd w:val="0"/>
        <w:spacing w:before="0" w:after="240"/>
        <w:ind w:left="993"/>
        <w:jc w:val="left"/>
        <w:rPr>
          <w:rFonts w:ascii="Times New Roman" w:hAnsi="Times New Roman"/>
          <w:sz w:val="24"/>
        </w:rPr>
      </w:pPr>
      <w:r w:rsidRPr="004B6DCE">
        <w:rPr>
          <w:rFonts w:ascii="Times New Roman" w:hAnsi="Times New Roman"/>
          <w:sz w:val="24"/>
        </w:rPr>
        <w:t>„НЕ“ = ако се използват надзорни оценки на параметъра LGD и кредитните конверсионни коефициенти (основен вътрешнорейтингов подход);</w:t>
      </w:r>
    </w:p>
    <w:p w14:paraId="3AB7C0DB" w14:textId="77777777" w:rsidR="00FB3D09" w:rsidRPr="004B6DCE" w:rsidRDefault="00FB3D09" w:rsidP="00FB3D09">
      <w:pPr>
        <w:autoSpaceDE w:val="0"/>
        <w:autoSpaceDN w:val="0"/>
        <w:adjustRightInd w:val="0"/>
        <w:spacing w:before="0" w:after="240"/>
        <w:ind w:left="993"/>
        <w:jc w:val="left"/>
        <w:rPr>
          <w:rFonts w:ascii="Times New Roman" w:hAnsi="Times New Roman"/>
          <w:sz w:val="24"/>
        </w:rPr>
      </w:pPr>
      <w:r w:rsidRPr="004B6DCE">
        <w:rPr>
          <w:rFonts w:ascii="Times New Roman" w:hAnsi="Times New Roman"/>
          <w:sz w:val="24"/>
        </w:rPr>
        <w:t>„ДА“ = ако се използват собствени оценки на параметъра LGD и кредитните конверсионни коефициенти (усъвършенстван вътрешнорейтингов подход). Тук се включват всички портфейли с експозиции на дребно.</w:t>
      </w:r>
    </w:p>
    <w:p w14:paraId="366E5CCA" w14:textId="77777777" w:rsidR="00FB3D09" w:rsidRPr="004B6DCE" w:rsidRDefault="00FB3D09" w:rsidP="00FB3D09">
      <w:pPr>
        <w:autoSpaceDE w:val="0"/>
        <w:autoSpaceDN w:val="0"/>
        <w:adjustRightInd w:val="0"/>
        <w:spacing w:before="0" w:after="240"/>
        <w:ind w:left="993"/>
        <w:jc w:val="left"/>
        <w:rPr>
          <w:rFonts w:ascii="Times New Roman" w:hAnsi="Times New Roman"/>
          <w:sz w:val="24"/>
        </w:rPr>
      </w:pPr>
      <w:r w:rsidRPr="004B6DCE">
        <w:rPr>
          <w:rFonts w:ascii="Times New Roman" w:hAnsi="Times New Roman"/>
          <w:sz w:val="24"/>
        </w:rPr>
        <w:t>Ако при изчисляването на рисково претегления размер на експозициите институцията използва за част от своите експозиции по вътрешнорейтинговия подход собствени оценки на загубата от неизпълнение, а за останалата част — надзорна оценка на този параметър, тя докладва един образец CR IRB Total — за позициите F-IRB, и един образец CR IRB Total — за позициите A-IRB.</w:t>
      </w:r>
    </w:p>
    <w:p w14:paraId="42EA72F2" w14:textId="77777777" w:rsidR="00FB3D09" w:rsidRPr="004B6DC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sidRPr="004B6DCE">
        <w:rPr>
          <w:rFonts w:ascii="Times New Roman" w:hAnsi="Times New Roman"/>
          <w:sz w:val="24"/>
          <w:u w:val="none"/>
        </w:rPr>
        <w:t>3.3.2.</w:t>
      </w:r>
      <w:r w:rsidRPr="004B6DCE">
        <w:rPr>
          <w:rFonts w:ascii="Times New Roman" w:hAnsi="Times New Roman"/>
          <w:sz w:val="24"/>
          <w:u w:val="none"/>
        </w:rPr>
        <w:tab/>
      </w:r>
      <w:r w:rsidRPr="004B6DCE">
        <w:rPr>
          <w:rFonts w:ascii="Times New Roman" w:hAnsi="Times New Roman"/>
          <w:sz w:val="24"/>
        </w:rPr>
        <w:t>Разбивка на образец CR IRB</w:t>
      </w:r>
      <w:bookmarkEnd w:id="3"/>
      <w:bookmarkEnd w:id="4"/>
      <w:bookmarkEnd w:id="5"/>
      <w:bookmarkEnd w:id="6"/>
      <w:bookmarkEnd w:id="7"/>
      <w:bookmarkEnd w:id="8"/>
      <w:bookmarkEnd w:id="9"/>
      <w:bookmarkEnd w:id="10"/>
    </w:p>
    <w:p w14:paraId="37488548" w14:textId="1E62BF0E" w:rsidR="00FB3D09" w:rsidRPr="004B6DCE" w:rsidRDefault="00FB3D09" w:rsidP="00FB3D09">
      <w:pPr>
        <w:pStyle w:val="InstructionsText2"/>
        <w:numPr>
          <w:ilvl w:val="0"/>
          <w:numId w:val="0"/>
        </w:numPr>
        <w:ind w:left="993"/>
      </w:pPr>
      <w:r w:rsidRPr="004B6DCE">
        <w:fldChar w:fldCharType="begin"/>
      </w:r>
      <w:r w:rsidRPr="004B6DCE">
        <w:instrText>seq paragraphs</w:instrText>
      </w:r>
      <w:r w:rsidRPr="004B6DCE">
        <w:fldChar w:fldCharType="separate"/>
      </w:r>
      <w:r w:rsidRPr="004B6DCE">
        <w:t>76</w:t>
      </w:r>
      <w:r w:rsidRPr="004B6DCE">
        <w:fldChar w:fldCharType="end"/>
      </w:r>
      <w:r w:rsidRPr="004B6DCE">
        <w:t>.</w:t>
      </w:r>
      <w:r w:rsidRPr="004B6DCE">
        <w:tab/>
        <w:t>CR IRB се състои от седем образеца. В CR IRB 1 се прави общ преглед на експозициите по вътрешнорейтинговия подход и на различните методи за изчисляване на рисково претегления размер на експозициите, както и разбивка на общите експозиции по видове експозиции. CR IRB 2 съдържа разбивка на общите експозиции, отнесени към категории или групи длъжници (експозиции, докладвани по ред 0070 от CR IRB 1) В CR IRB 3 се предоставят всички съответни параметри, използвани за изчисляване на капиталовите изисквания за кредитен риск по вътрешнорейтинговите модели. В CR IRB 4 е представен отчет за потоците, с който се обясняват промените в рисково претегления размер на експозициите, определени съгласно вътрешнорейтинговия подход за кредитен риск. CR IRB 5 предоставя информация за резултатите от бек-тестовете на вероятностите от неизпълнение по докладваните модели. В CR IRB 6 се посочват всички съответни параметри, използвани за изчисляване на капиталовите изисквания за кредитен риск по разграничителни критерии за специализирано кредитиране. В CR IRB 7 се прави преглед на процента от стойността на експозицията, за която се прилага стандартизиран или вътрешнорейтингов подход, за всеки съответен клас експозиции. Образци CR IRB 1, CR IRB 2, CR IRB 3 и CR IRB 5 се докладват отделно за следните експозиции и подкласове експозиции („поясняваща позиция“ се докладва отделно като подклас експозиции, но не е свързана с образец C 02.00 и не е част от образец „Общо“):</w:t>
      </w:r>
    </w:p>
    <w:p w14:paraId="23A3F056" w14:textId="64EA1880" w:rsidR="00FD1A9F" w:rsidRPr="004B6DCE" w:rsidRDefault="006B0F8A" w:rsidP="00126E51">
      <w:pPr>
        <w:autoSpaceDE w:val="0"/>
        <w:autoSpaceDN w:val="0"/>
        <w:adjustRightInd w:val="0"/>
        <w:spacing w:before="0" w:after="0"/>
        <w:ind w:left="708"/>
        <w:jc w:val="left"/>
        <w:rPr>
          <w:u w:val="single"/>
        </w:rPr>
      </w:pPr>
      <w:r w:rsidRPr="004B6DCE">
        <w:rPr>
          <w:rFonts w:ascii="Times New Roman" w:hAnsi="Times New Roman"/>
          <w:sz w:val="24"/>
          <w:u w:val="single"/>
        </w:rPr>
        <w:lastRenderedPageBreak/>
        <w:t>А) Вътрешнорейтингови подходи, когато не се използват нито собствени оценки за загуба при неизпълнение (LGD), нито конверсионни коефициенти (Основен вътрешнорейтингов подход)</w:t>
      </w:r>
    </w:p>
    <w:p w14:paraId="742DED0D" w14:textId="60DC622C" w:rsidR="00FB3D09" w:rsidRPr="004B6DCE" w:rsidRDefault="006B0F8A" w:rsidP="006B0F8A">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 xml:space="preserve">A.1) </w:t>
      </w:r>
      <w:r w:rsidRPr="004B6DCE">
        <w:rPr>
          <w:rFonts w:ascii="Times New Roman" w:hAnsi="Times New Roman"/>
          <w:sz w:val="24"/>
        </w:rPr>
        <w:tab/>
        <w:t>Общо</w:t>
      </w:r>
    </w:p>
    <w:p w14:paraId="17E353AE" w14:textId="4D7B9170" w:rsidR="00FB3D09" w:rsidRPr="004B6DCE" w:rsidRDefault="006B0F8A" w:rsidP="00FB3D09">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A.2)</w:t>
      </w:r>
      <w:r w:rsidRPr="004B6DCE">
        <w:rPr>
          <w:rFonts w:ascii="Times New Roman" w:hAnsi="Times New Roman"/>
          <w:sz w:val="24"/>
        </w:rPr>
        <w:tab/>
        <w:t xml:space="preserve">Централни банки и централни правителства </w:t>
      </w:r>
    </w:p>
    <w:p w14:paraId="070E0717" w14:textId="77777777" w:rsidR="00FB3D09" w:rsidRPr="004B6DCE" w:rsidRDefault="00FB3D09" w:rsidP="00FB3D09">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буква а) от Регламент (ЕС) № 575/2013)</w:t>
      </w:r>
    </w:p>
    <w:p w14:paraId="4032BEC5" w14:textId="47D8D1A7" w:rsidR="00FB3D09" w:rsidRPr="004B6DCE" w:rsidRDefault="006B0F8A" w:rsidP="00FB3D09">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A.3)</w:t>
      </w:r>
      <w:r w:rsidRPr="004B6DCE">
        <w:rPr>
          <w:rFonts w:ascii="Times New Roman" w:hAnsi="Times New Roman"/>
          <w:sz w:val="24"/>
        </w:rPr>
        <w:tab/>
        <w:t xml:space="preserve">Регионални правителства или местни органи на властта </w:t>
      </w:r>
    </w:p>
    <w:p w14:paraId="75CD54FE" w14:textId="4B4A74E8" w:rsidR="00FB3D09" w:rsidRPr="004B6DCE" w:rsidRDefault="00FB3D09" w:rsidP="00FB3D09">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буква аа), подточка i) от Регламент (ЕС) № 575/2013)</w:t>
      </w:r>
    </w:p>
    <w:p w14:paraId="614294C6" w14:textId="682C38BE" w:rsidR="00FB3D09" w:rsidRPr="004B6DCE" w:rsidRDefault="006B0F8A" w:rsidP="00FB3D09">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A.4)</w:t>
      </w:r>
      <w:r w:rsidRPr="004B6DCE">
        <w:rPr>
          <w:rFonts w:ascii="Times New Roman" w:hAnsi="Times New Roman"/>
          <w:sz w:val="24"/>
        </w:rPr>
        <w:tab/>
        <w:t xml:space="preserve">Субекти от публичния сектор  </w:t>
      </w:r>
    </w:p>
    <w:p w14:paraId="52525D8D" w14:textId="056FDE6F" w:rsidR="00FB3D09" w:rsidRPr="004B6DCE" w:rsidRDefault="00FB3D09" w:rsidP="00FB3D09">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буква аа), подточка ii) от Регламент (ЕС) № 575/2013)</w:t>
      </w:r>
    </w:p>
    <w:p w14:paraId="3CDBBA19" w14:textId="3B656C48" w:rsidR="00FB3D09" w:rsidRPr="004B6DCE" w:rsidRDefault="006B0F8A" w:rsidP="00FB3D09">
      <w:pPr>
        <w:autoSpaceDE w:val="0"/>
        <w:autoSpaceDN w:val="0"/>
        <w:adjustRightInd w:val="0"/>
        <w:spacing w:before="0" w:after="0"/>
        <w:ind w:left="708"/>
        <w:rPr>
          <w:rFonts w:ascii="Times New Roman" w:hAnsi="Times New Roman"/>
          <w:sz w:val="24"/>
        </w:rPr>
      </w:pPr>
      <w:r w:rsidRPr="004B6DCE">
        <w:rPr>
          <w:rFonts w:ascii="Times New Roman" w:hAnsi="Times New Roman"/>
          <w:sz w:val="24"/>
        </w:rPr>
        <w:t>A.5)</w:t>
      </w:r>
      <w:r w:rsidRPr="004B6DCE">
        <w:rPr>
          <w:rFonts w:ascii="Times New Roman" w:hAnsi="Times New Roman"/>
          <w:sz w:val="24"/>
        </w:rPr>
        <w:tab/>
        <w:t>Институции</w:t>
      </w:r>
    </w:p>
    <w:p w14:paraId="5A2EE4F2" w14:textId="3CF7CB17" w:rsidR="00FB3D09" w:rsidRPr="004B6DCE" w:rsidRDefault="00FB3D09" w:rsidP="00E13BD0">
      <w:pPr>
        <w:autoSpaceDE w:val="0"/>
        <w:autoSpaceDN w:val="0"/>
        <w:adjustRightInd w:val="0"/>
        <w:spacing w:before="0" w:after="0"/>
        <w:ind w:left="1416" w:firstLine="12"/>
        <w:jc w:val="left"/>
        <w:rPr>
          <w:rFonts w:ascii="Times New Roman" w:hAnsi="Times New Roman"/>
          <w:sz w:val="24"/>
        </w:rPr>
      </w:pPr>
      <w:r w:rsidRPr="004B6DCE">
        <w:rPr>
          <w:rFonts w:ascii="Times New Roman" w:hAnsi="Times New Roman"/>
          <w:sz w:val="24"/>
        </w:rPr>
        <w:t>(Член 147, параграф 2, буква б) от Регламент (ЕС) № 575/2013)</w:t>
      </w:r>
    </w:p>
    <w:p w14:paraId="5411EBAF" w14:textId="1E5C1A05" w:rsidR="00FB3D09" w:rsidRPr="004B6DCE" w:rsidRDefault="006B0F8A" w:rsidP="00FB3D09">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A.6.1)</w:t>
      </w:r>
      <w:r w:rsidRPr="004B6DCE">
        <w:rPr>
          <w:rFonts w:ascii="Times New Roman" w:hAnsi="Times New Roman"/>
          <w:sz w:val="24"/>
        </w:rPr>
        <w:tab/>
        <w:t>Предприятия — специализирано кредитиране</w:t>
      </w:r>
    </w:p>
    <w:p w14:paraId="4E8B7543" w14:textId="4E5EF733" w:rsidR="00FB3D09" w:rsidRPr="004B6DCE" w:rsidRDefault="00FB3D09" w:rsidP="00FB3D09">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буква в), подточка ii) от Регламент (ЕС) № 575/2013)</w:t>
      </w:r>
    </w:p>
    <w:p w14:paraId="571E5944" w14:textId="28012B61" w:rsidR="00FB3D09" w:rsidRPr="004B6DCE" w:rsidRDefault="006B0F8A" w:rsidP="00FB3D09">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A.6.2)  Предприятия – Закупени вземания</w:t>
      </w:r>
    </w:p>
    <w:p w14:paraId="1A7D2649" w14:textId="4FE9E262" w:rsidR="00E13BD0" w:rsidRPr="004B6DCE" w:rsidRDefault="00FB3D09" w:rsidP="00EF2302">
      <w:pPr>
        <w:autoSpaceDE w:val="0"/>
        <w:autoSpaceDN w:val="0"/>
        <w:adjustRightInd w:val="0"/>
        <w:spacing w:before="0" w:after="0"/>
        <w:ind w:left="720" w:firstLine="720"/>
        <w:jc w:val="left"/>
        <w:rPr>
          <w:rFonts w:ascii="Times New Roman" w:hAnsi="Times New Roman"/>
          <w:sz w:val="24"/>
        </w:rPr>
      </w:pPr>
      <w:r w:rsidRPr="004B6DCE">
        <w:rPr>
          <w:rFonts w:ascii="Times New Roman" w:hAnsi="Times New Roman"/>
          <w:sz w:val="24"/>
        </w:rPr>
        <w:t>(Член 147, параграф 2, буква в), подточка iii) от Регламент (ЕС) № 575/2013)</w:t>
      </w:r>
    </w:p>
    <w:p w14:paraId="77FF0C8B" w14:textId="0F260419" w:rsidR="00FB3D09" w:rsidRPr="004B6DCE" w:rsidRDefault="006B0F8A" w:rsidP="00E13BD0">
      <w:pPr>
        <w:autoSpaceDE w:val="0"/>
        <w:autoSpaceDN w:val="0"/>
        <w:adjustRightInd w:val="0"/>
        <w:spacing w:before="0" w:after="0"/>
        <w:ind w:left="720"/>
        <w:jc w:val="left"/>
        <w:rPr>
          <w:rFonts w:ascii="Times New Roman" w:hAnsi="Times New Roman"/>
          <w:sz w:val="24"/>
        </w:rPr>
      </w:pPr>
      <w:r w:rsidRPr="004B6DCE">
        <w:rPr>
          <w:rFonts w:ascii="Times New Roman" w:hAnsi="Times New Roman"/>
          <w:sz w:val="24"/>
        </w:rPr>
        <w:t>A.6.3)</w:t>
      </w:r>
      <w:r w:rsidRPr="004B6DCE">
        <w:tab/>
      </w:r>
      <w:r w:rsidRPr="004B6DCE">
        <w:rPr>
          <w:rFonts w:ascii="Times New Roman" w:hAnsi="Times New Roman"/>
          <w:sz w:val="24"/>
        </w:rPr>
        <w:t xml:space="preserve">Предприятия — други </w:t>
      </w:r>
    </w:p>
    <w:p w14:paraId="0E912CCE" w14:textId="24911A15" w:rsidR="00FB3D09" w:rsidRPr="004B6DCE" w:rsidRDefault="00FB3D09" w:rsidP="00FB3D09">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буква в), подточка i) от Регламент (ЕС) № 575/2013)</w:t>
      </w:r>
    </w:p>
    <w:p w14:paraId="486BF9E6" w14:textId="1FC1D76C" w:rsidR="0029349B" w:rsidRPr="004B6DCE" w:rsidRDefault="0029349B" w:rsidP="0029349B">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A.6.4) Поясняваща позиция: Предприятия — Големи предприятия</w:t>
      </w:r>
    </w:p>
    <w:p w14:paraId="715EBD40" w14:textId="150CC2BB" w:rsidR="0029349B" w:rsidRPr="004B6DCE" w:rsidRDefault="0029349B" w:rsidP="0029349B">
      <w:pPr>
        <w:pStyle w:val="ListParagraph"/>
        <w:autoSpaceDE w:val="0"/>
        <w:autoSpaceDN w:val="0"/>
        <w:adjustRightInd w:val="0"/>
        <w:spacing w:before="0" w:after="0"/>
        <w:ind w:left="1440"/>
        <w:jc w:val="left"/>
        <w:rPr>
          <w:rFonts w:ascii="Times New Roman" w:hAnsi="Times New Roman"/>
          <w:sz w:val="24"/>
        </w:rPr>
      </w:pPr>
      <w:r w:rsidRPr="004B6DCE">
        <w:rPr>
          <w:rFonts w:ascii="Times New Roman" w:hAnsi="Times New Roman"/>
          <w:sz w:val="24"/>
        </w:rPr>
        <w:t>(Член 147, параграф 2, буква в) от Регламент (ЕС) № 575/2013, член 142, параграф 1 във връзка с параграф 5а от Регламент (ЕС) № 575/2013)</w:t>
      </w:r>
    </w:p>
    <w:p w14:paraId="5A8F3224" w14:textId="4866743F" w:rsidR="0029349B" w:rsidRPr="004B6DCE" w:rsidRDefault="0029349B" w:rsidP="0029349B">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A.6.5) Поясняваща позиция: предприятия — МСП</w:t>
      </w:r>
    </w:p>
    <w:p w14:paraId="42836C84" w14:textId="124ED090" w:rsidR="0029349B" w:rsidRPr="004B6DCE" w:rsidRDefault="0029349B" w:rsidP="00126E51">
      <w:pPr>
        <w:pStyle w:val="ListParagraph"/>
        <w:autoSpaceDE w:val="0"/>
        <w:autoSpaceDN w:val="0"/>
        <w:adjustRightInd w:val="0"/>
        <w:spacing w:before="0" w:after="0"/>
        <w:ind w:left="1418"/>
        <w:jc w:val="left"/>
        <w:rPr>
          <w:rFonts w:ascii="Times New Roman" w:hAnsi="Times New Roman"/>
          <w:sz w:val="24"/>
        </w:rPr>
      </w:pPr>
      <w:r w:rsidRPr="004B6DCE">
        <w:rPr>
          <w:rFonts w:ascii="Times New Roman" w:hAnsi="Times New Roman"/>
          <w:sz w:val="24"/>
        </w:rPr>
        <w:t>(Член 147, параграф 2, точка I от Регламент (ЕС) № 575/2013 във връзка с член 5, параграф 8 от Регламент (ЕС) № 575/2013)</w:t>
      </w:r>
    </w:p>
    <w:p w14:paraId="23564959" w14:textId="77777777" w:rsidR="00B949C3" w:rsidRPr="004B6DCE"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4B6DCE" w:rsidRDefault="006013AC" w:rsidP="00126E51">
      <w:pPr>
        <w:autoSpaceDE w:val="0"/>
        <w:autoSpaceDN w:val="0"/>
        <w:adjustRightInd w:val="0"/>
        <w:spacing w:before="0" w:after="0"/>
        <w:ind w:firstLine="708"/>
        <w:jc w:val="left"/>
        <w:rPr>
          <w:rFonts w:ascii="Times New Roman" w:hAnsi="Times New Roman"/>
          <w:sz w:val="24"/>
          <w:u w:val="single"/>
        </w:rPr>
      </w:pPr>
      <w:r w:rsidRPr="004B6DCE">
        <w:rPr>
          <w:rFonts w:ascii="Times New Roman" w:hAnsi="Times New Roman"/>
          <w:sz w:val="24"/>
          <w:u w:val="single"/>
        </w:rPr>
        <w:t>Б) Вътрешнорейтингови подходи, когато се използват собствени оценки за загуба при неизпълнение и/или конверсионни коефициенти</w:t>
      </w:r>
    </w:p>
    <w:p w14:paraId="31E1DC0E" w14:textId="5BBBD0A6" w:rsidR="006013AC" w:rsidRPr="004B6DCE" w:rsidRDefault="009D125A" w:rsidP="006013AC">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 xml:space="preserve">Б.1) </w:t>
      </w:r>
      <w:r w:rsidRPr="004B6DCE">
        <w:rPr>
          <w:rFonts w:ascii="Times New Roman" w:hAnsi="Times New Roman"/>
          <w:sz w:val="24"/>
        </w:rPr>
        <w:tab/>
        <w:t>Общо</w:t>
      </w:r>
    </w:p>
    <w:p w14:paraId="2607EE3C" w14:textId="4BBA570A" w:rsidR="006013AC" w:rsidRPr="004B6DCE" w:rsidRDefault="009D125A" w:rsidP="006013AC">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Б.2)</w:t>
      </w:r>
      <w:r w:rsidRPr="004B6DCE">
        <w:rPr>
          <w:rFonts w:ascii="Times New Roman" w:hAnsi="Times New Roman"/>
          <w:sz w:val="24"/>
        </w:rPr>
        <w:tab/>
        <w:t xml:space="preserve">Централни банки и централни правителства </w:t>
      </w:r>
    </w:p>
    <w:p w14:paraId="194B4B2A" w14:textId="77777777" w:rsidR="006013AC" w:rsidRPr="004B6DCE" w:rsidRDefault="006013AC" w:rsidP="006013AC">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буква а) от Регламент (ЕС) № 575/2013)</w:t>
      </w:r>
    </w:p>
    <w:p w14:paraId="788F5C27" w14:textId="060EA0B3" w:rsidR="006013AC" w:rsidRPr="004B6DCE" w:rsidRDefault="009D125A" w:rsidP="006013AC">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Б.3)</w:t>
      </w:r>
      <w:r w:rsidRPr="004B6DCE">
        <w:rPr>
          <w:rFonts w:ascii="Times New Roman" w:hAnsi="Times New Roman"/>
          <w:sz w:val="24"/>
        </w:rPr>
        <w:tab/>
        <w:t xml:space="preserve">Регионални правителства или местни органи на властта </w:t>
      </w:r>
    </w:p>
    <w:p w14:paraId="2ECF3277" w14:textId="77777777" w:rsidR="006013AC" w:rsidRPr="004B6DCE" w:rsidRDefault="006013AC" w:rsidP="006013AC">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буква аа), подточка i) от Регламент (ЕС) № 575/2013)</w:t>
      </w:r>
    </w:p>
    <w:p w14:paraId="5DCFC117" w14:textId="01557B68" w:rsidR="006013AC" w:rsidRPr="004B6DCE" w:rsidRDefault="009D125A" w:rsidP="006013AC">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Б.4)</w:t>
      </w:r>
      <w:r w:rsidRPr="004B6DCE">
        <w:rPr>
          <w:rFonts w:ascii="Times New Roman" w:hAnsi="Times New Roman"/>
          <w:sz w:val="24"/>
        </w:rPr>
        <w:tab/>
        <w:t xml:space="preserve">Субекти от публичния сектор  </w:t>
      </w:r>
    </w:p>
    <w:p w14:paraId="062F8299" w14:textId="77777777" w:rsidR="006013AC" w:rsidRPr="004B6DCE" w:rsidRDefault="006013AC" w:rsidP="006013AC">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буква аа), подточка ii) от Регламент (ЕС) № 575/2013)</w:t>
      </w:r>
    </w:p>
    <w:p w14:paraId="698D8E50" w14:textId="3BD81666" w:rsidR="006013AC" w:rsidRPr="004B6DCE" w:rsidRDefault="009D125A" w:rsidP="006013AC">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Б.5.1)</w:t>
      </w:r>
      <w:r w:rsidRPr="004B6DCE">
        <w:rPr>
          <w:rFonts w:ascii="Times New Roman" w:hAnsi="Times New Roman"/>
          <w:sz w:val="24"/>
        </w:rPr>
        <w:tab/>
        <w:t>Предприятия — специализирано кредитиране</w:t>
      </w:r>
    </w:p>
    <w:p w14:paraId="7699809B" w14:textId="4B162F04" w:rsidR="006013AC" w:rsidRPr="004B6DCE" w:rsidRDefault="006013AC" w:rsidP="006013AC">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точка I, подточка ii) от Регламент (ЕС) № 575/2013)</w:t>
      </w:r>
    </w:p>
    <w:p w14:paraId="79E7A993" w14:textId="0A3A70E1" w:rsidR="006013AC" w:rsidRPr="004B6DCE" w:rsidRDefault="009D125A" w:rsidP="006013AC">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Б.5.2)  Предприятия – Закупени вземания</w:t>
      </w:r>
    </w:p>
    <w:p w14:paraId="47616290" w14:textId="5372C532" w:rsidR="006013AC" w:rsidRPr="004B6DCE" w:rsidRDefault="006013AC" w:rsidP="006013AC">
      <w:pPr>
        <w:autoSpaceDE w:val="0"/>
        <w:autoSpaceDN w:val="0"/>
        <w:adjustRightInd w:val="0"/>
        <w:spacing w:before="0" w:after="0"/>
        <w:ind w:left="720" w:firstLine="720"/>
        <w:jc w:val="left"/>
        <w:rPr>
          <w:rFonts w:ascii="Times New Roman" w:hAnsi="Times New Roman"/>
          <w:sz w:val="24"/>
        </w:rPr>
      </w:pPr>
      <w:r w:rsidRPr="004B6DCE">
        <w:rPr>
          <w:rFonts w:ascii="Times New Roman" w:hAnsi="Times New Roman"/>
          <w:sz w:val="24"/>
        </w:rPr>
        <w:t>(Член 147, параграф 2, точка I, подточка iii) от Регламент (ЕС) № 575/2013)</w:t>
      </w:r>
    </w:p>
    <w:p w14:paraId="7E0F1962" w14:textId="1EC228E7" w:rsidR="006013AC" w:rsidRPr="004B6DCE" w:rsidRDefault="009D125A" w:rsidP="006013AC">
      <w:pPr>
        <w:autoSpaceDE w:val="0"/>
        <w:autoSpaceDN w:val="0"/>
        <w:adjustRightInd w:val="0"/>
        <w:spacing w:before="0" w:after="0"/>
        <w:ind w:left="720"/>
        <w:jc w:val="left"/>
        <w:rPr>
          <w:rFonts w:ascii="Times New Roman" w:hAnsi="Times New Roman"/>
          <w:sz w:val="24"/>
        </w:rPr>
      </w:pPr>
      <w:r w:rsidRPr="004B6DCE">
        <w:rPr>
          <w:rFonts w:ascii="Times New Roman" w:hAnsi="Times New Roman"/>
          <w:sz w:val="24"/>
        </w:rPr>
        <w:t>Б.5.3)</w:t>
      </w:r>
      <w:r w:rsidRPr="004B6DCE">
        <w:tab/>
      </w:r>
      <w:r w:rsidRPr="004B6DCE">
        <w:rPr>
          <w:rFonts w:ascii="Times New Roman" w:hAnsi="Times New Roman"/>
          <w:sz w:val="24"/>
        </w:rPr>
        <w:t xml:space="preserve">Предприятия — други </w:t>
      </w:r>
    </w:p>
    <w:p w14:paraId="7C24044A" w14:textId="31456617" w:rsidR="00CD1BFF" w:rsidRPr="004B6DCE" w:rsidRDefault="006013AC" w:rsidP="009D125A">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(Член 147, параграф 2, точка I, подточка i) от Регламент (ЕС) № 575/2013)</w:t>
      </w:r>
    </w:p>
    <w:p w14:paraId="0D9A4B56" w14:textId="3B70C431" w:rsidR="008A3C6B" w:rsidRPr="004B6DCE" w:rsidRDefault="008A3C6B" w:rsidP="008A3C6B">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lastRenderedPageBreak/>
        <w:t>Б.5.4) Поясняваща позиция: Предприятия — Големи предприятия</w:t>
      </w:r>
    </w:p>
    <w:p w14:paraId="7348E5D3" w14:textId="77777777" w:rsidR="008A3C6B" w:rsidRPr="004B6DCE" w:rsidRDefault="008A3C6B" w:rsidP="008A3C6B">
      <w:pPr>
        <w:pStyle w:val="ListParagraph"/>
        <w:autoSpaceDE w:val="0"/>
        <w:autoSpaceDN w:val="0"/>
        <w:adjustRightInd w:val="0"/>
        <w:spacing w:before="0" w:after="0"/>
        <w:ind w:left="1440"/>
        <w:jc w:val="left"/>
        <w:rPr>
          <w:rFonts w:ascii="Times New Roman" w:hAnsi="Times New Roman"/>
          <w:sz w:val="24"/>
        </w:rPr>
      </w:pPr>
      <w:r w:rsidRPr="004B6DCE">
        <w:rPr>
          <w:rFonts w:ascii="Times New Roman" w:hAnsi="Times New Roman"/>
          <w:sz w:val="24"/>
        </w:rPr>
        <w:t>(Член 147, параграф 2, буква в) от Регламент (ЕС) № 575/2013, член 142, параграф 1 във връзка с параграф 5а от Регламент (ЕС) № 575/2013)</w:t>
      </w:r>
    </w:p>
    <w:p w14:paraId="4EA5C9B6" w14:textId="568BE150" w:rsidR="008A3C6B" w:rsidRPr="004B6DCE" w:rsidRDefault="008A3C6B" w:rsidP="008A3C6B">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Б.5.6) Поясняваща позиция: предприятия — МСП</w:t>
      </w:r>
    </w:p>
    <w:p w14:paraId="327F10F1" w14:textId="086997C1" w:rsidR="008A3C6B" w:rsidRPr="004B6DCE" w:rsidRDefault="008A3C6B" w:rsidP="008A3C6B">
      <w:pPr>
        <w:pStyle w:val="ListParagraph"/>
        <w:autoSpaceDE w:val="0"/>
        <w:autoSpaceDN w:val="0"/>
        <w:adjustRightInd w:val="0"/>
        <w:spacing w:before="0" w:after="0"/>
        <w:ind w:left="1418"/>
        <w:jc w:val="left"/>
        <w:rPr>
          <w:rFonts w:ascii="Times New Roman" w:hAnsi="Times New Roman"/>
          <w:sz w:val="24"/>
        </w:rPr>
      </w:pPr>
      <w:r w:rsidRPr="004B6DCE">
        <w:rPr>
          <w:rFonts w:ascii="Times New Roman" w:hAnsi="Times New Roman"/>
          <w:sz w:val="24"/>
        </w:rPr>
        <w:t>(Член 147, параграф 2, буква в) от Регламент (ЕС) № 575/2013 във връзка с член 5, параграф 8 от Регламент (ЕС) № 575/2013)</w:t>
      </w:r>
    </w:p>
    <w:p w14:paraId="72709B7F" w14:textId="0A3CA0B0" w:rsidR="00FB3D09" w:rsidRPr="004B6DCE" w:rsidRDefault="009D125A" w:rsidP="00FB3D09">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Б.6.1)</w:t>
      </w:r>
      <w:r w:rsidRPr="004B6DCE">
        <w:rPr>
          <w:rFonts w:ascii="Times New Roman" w:hAnsi="Times New Roman"/>
          <w:sz w:val="24"/>
        </w:rPr>
        <w:tab/>
        <w:t xml:space="preserve">На дребно – Обезпечени с жилищни недвижими имоти </w:t>
      </w:r>
    </w:p>
    <w:p w14:paraId="650A4DF9" w14:textId="69386974" w:rsidR="00FB3D09" w:rsidRPr="004B6DCE" w:rsidRDefault="00FB3D09" w:rsidP="00FB3D09">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(Експозициите на дребно по член 147, параграф 2, буква г), подточка ii) от Регламент (ЕС) № 575/2013)</w:t>
      </w:r>
    </w:p>
    <w:p w14:paraId="2ECC4965" w14:textId="776EA69B" w:rsidR="00A54B9F" w:rsidRPr="004B6DCE" w:rsidRDefault="000C3D68" w:rsidP="00E13BD0">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В тази категория.</w:t>
      </w:r>
    </w:p>
    <w:p w14:paraId="4F591501" w14:textId="3C2A575C" w:rsidR="00FB3D09" w:rsidRPr="004B6DCE" w:rsidRDefault="009D125A" w:rsidP="00FB3D09">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Б.6.2)</w:t>
      </w:r>
      <w:r w:rsidRPr="004B6DCE">
        <w:rPr>
          <w:rFonts w:ascii="Times New Roman" w:hAnsi="Times New Roman"/>
          <w:sz w:val="24"/>
        </w:rPr>
        <w:tab/>
        <w:t>На дребно — Квалифицирани револвиращи</w:t>
      </w:r>
    </w:p>
    <w:p w14:paraId="2787B7FB" w14:textId="77777777" w:rsidR="00FB3D09" w:rsidRPr="004B6DCE" w:rsidRDefault="00FB3D09" w:rsidP="00FB3D09">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 xml:space="preserve">(Експозициите на дребно, посочени в член 147, параграф 2, буква г), подточка i) от Регламент (ЕС) № 575/2013 във връзка с член 154, параграф 4 от същия регламент). </w:t>
      </w:r>
    </w:p>
    <w:p w14:paraId="1CA9F240" w14:textId="4E5B99F0" w:rsidR="00FB3D09" w:rsidRPr="004B6DCE" w:rsidRDefault="00DB50AA" w:rsidP="00FB3D09">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Б6.3)</w:t>
      </w:r>
      <w:r w:rsidRPr="004B6DCE">
        <w:rPr>
          <w:rFonts w:ascii="Times New Roman" w:hAnsi="Times New Roman"/>
          <w:sz w:val="24"/>
        </w:rPr>
        <w:tab/>
        <w:t>На дребно – Закупени вземания</w:t>
      </w:r>
    </w:p>
    <w:p w14:paraId="3EBF4177" w14:textId="77777777" w:rsidR="00FB3D09" w:rsidRPr="004B6DCE" w:rsidRDefault="00FB3D09" w:rsidP="00FB3D09">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 xml:space="preserve">(Експозициите на дребно по член 147, параграф 2, буква г), подточка iii) от Регламент (ЕС) № 575/2013). </w:t>
      </w:r>
    </w:p>
    <w:p w14:paraId="776A9653" w14:textId="274FCDDB" w:rsidR="00FB3D09" w:rsidRPr="004B6DCE" w:rsidRDefault="00DB50AA" w:rsidP="00FB3D09">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Б.6.4)</w:t>
      </w:r>
      <w:r w:rsidRPr="004B6DCE">
        <w:rPr>
          <w:rFonts w:ascii="Times New Roman" w:hAnsi="Times New Roman"/>
          <w:sz w:val="24"/>
        </w:rPr>
        <w:tab/>
        <w:t xml:space="preserve">На дребно – Други </w:t>
      </w:r>
    </w:p>
    <w:p w14:paraId="1CBC5EF4" w14:textId="450212A6" w:rsidR="00F61AEB" w:rsidRPr="004B6DCE" w:rsidRDefault="00FB3D09" w:rsidP="00A54B9F">
      <w:pPr>
        <w:autoSpaceDE w:val="0"/>
        <w:autoSpaceDN w:val="0"/>
        <w:adjustRightInd w:val="0"/>
        <w:spacing w:before="0" w:after="0"/>
        <w:ind w:left="1428"/>
        <w:jc w:val="left"/>
        <w:rPr>
          <w:rFonts w:ascii="Times New Roman" w:hAnsi="Times New Roman"/>
          <w:sz w:val="24"/>
        </w:rPr>
      </w:pPr>
      <w:r w:rsidRPr="004B6DCE">
        <w:rPr>
          <w:rFonts w:ascii="Times New Roman" w:hAnsi="Times New Roman"/>
          <w:sz w:val="24"/>
        </w:rPr>
        <w:t>(Експозициите на дребно по член 147, параграф 2, буква г), подточка iv) от Регламент (ЕС) № 575/2013)</w:t>
      </w:r>
    </w:p>
    <w:p w14:paraId="0C697B9E" w14:textId="3DDAB287" w:rsidR="00F61AEB" w:rsidRPr="004B6DCE" w:rsidRDefault="00F61AEB" w:rsidP="00F61AEB">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Б.6.5) Поясняваща позиция: Експозиции на дребно — Обезпечени с недвижими имоти, МСП</w:t>
      </w:r>
    </w:p>
    <w:p w14:paraId="45B80CE1" w14:textId="6E9AC07A" w:rsidR="00F61AEB" w:rsidRPr="004B6DCE" w:rsidRDefault="00F61AEB" w:rsidP="00F61AEB">
      <w:pPr>
        <w:pStyle w:val="ListParagraph"/>
        <w:autoSpaceDE w:val="0"/>
        <w:autoSpaceDN w:val="0"/>
        <w:adjustRightInd w:val="0"/>
        <w:spacing w:before="0" w:after="0"/>
        <w:ind w:left="1418"/>
        <w:jc w:val="left"/>
        <w:rPr>
          <w:rFonts w:ascii="Times New Roman" w:hAnsi="Times New Roman"/>
          <w:sz w:val="24"/>
        </w:rPr>
      </w:pPr>
      <w:r w:rsidRPr="004B6DCE">
        <w:rPr>
          <w:rFonts w:ascii="Times New Roman" w:hAnsi="Times New Roman"/>
          <w:sz w:val="24"/>
        </w:rPr>
        <w:t>(Експозиции на дребно съгласно определението в член 147, параграф 2, буква г) от Регламент (ЕС) № 575/2013, докладвани в Б.6.1 — Б.6.4, които са обезпечени с недвижим имот съгласно определението в член 4, параграф 1, точка 75е, буква г) от Регламент (ЕС) № 575/2013, във връзка с член 5, параграф 8 от Регламент (ЕС) № 575/2013)</w:t>
      </w:r>
    </w:p>
    <w:p w14:paraId="40D2DB38" w14:textId="4857D4AC" w:rsidR="00F61AEB" w:rsidRPr="004B6DCE" w:rsidRDefault="00F61AEB" w:rsidP="00F61AEB">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Б.6.6) Поясняваща позиция: Експозиции на дребно — обезпечени с недвижими имоти, различни от МСП субекти</w:t>
      </w:r>
    </w:p>
    <w:p w14:paraId="7430D81F" w14:textId="3488EF28" w:rsidR="00F61AEB" w:rsidRPr="004B6DCE" w:rsidRDefault="00F61AEB" w:rsidP="00F61AEB">
      <w:pPr>
        <w:pStyle w:val="ListParagraph"/>
        <w:autoSpaceDE w:val="0"/>
        <w:autoSpaceDN w:val="0"/>
        <w:adjustRightInd w:val="0"/>
        <w:spacing w:before="0" w:after="0"/>
        <w:ind w:left="1418"/>
        <w:jc w:val="left"/>
        <w:rPr>
          <w:rFonts w:ascii="Times New Roman" w:hAnsi="Times New Roman"/>
          <w:sz w:val="24"/>
        </w:rPr>
      </w:pPr>
      <w:r w:rsidRPr="004B6DCE">
        <w:rPr>
          <w:rFonts w:ascii="Times New Roman" w:hAnsi="Times New Roman"/>
          <w:sz w:val="24"/>
        </w:rPr>
        <w:t>(Експозиции на дребно съгласно определението в член 147, параграф 2, буква г) от Регламент (ЕС) № 575/2013, докладвани в Б.6.1 — Б.6.4, които са обезпечени с недвижим имот съгласно определението в член 4, параграф 1, точка 75е, буква г) от Регламент (ЕС) № 575/2013, не във връзка с член 5, параграф 8 от Регламент (ЕС) № 575/2013)</w:t>
      </w:r>
    </w:p>
    <w:p w14:paraId="0EB53292" w14:textId="6168F897" w:rsidR="00F37042" w:rsidRPr="004B6DCE" w:rsidRDefault="00F37042" w:rsidP="00F37042">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Б.6.7) Поясняваща позиция: Експозиции на дребно — други МСП</w:t>
      </w:r>
    </w:p>
    <w:p w14:paraId="5861C1A9" w14:textId="50C55B82" w:rsidR="00F37042" w:rsidRPr="004B6DCE" w:rsidRDefault="00F37042" w:rsidP="00F37042">
      <w:pPr>
        <w:pStyle w:val="ListParagraph"/>
        <w:autoSpaceDE w:val="0"/>
        <w:autoSpaceDN w:val="0"/>
        <w:adjustRightInd w:val="0"/>
        <w:spacing w:before="0" w:after="0"/>
        <w:ind w:left="1418"/>
        <w:jc w:val="left"/>
        <w:rPr>
          <w:rFonts w:ascii="Times New Roman" w:hAnsi="Times New Roman"/>
          <w:sz w:val="24"/>
        </w:rPr>
      </w:pPr>
      <w:r w:rsidRPr="004B6DCE">
        <w:rPr>
          <w:rFonts w:ascii="Times New Roman" w:hAnsi="Times New Roman"/>
          <w:sz w:val="24"/>
        </w:rPr>
        <w:t>(Експозициите на дребно, посочени в член 147, параграф 2, буква г), подточка iv) от Регламент (ЕС) № 575/2013, които не са докладвани в Б.6.5 и Б.6.6, във връзка с член 5, параграф 8 от Регламент (ЕС) № 575/2013).</w:t>
      </w:r>
    </w:p>
    <w:p w14:paraId="394F5A32" w14:textId="4E70921A" w:rsidR="00F37042" w:rsidRPr="004B6DCE" w:rsidRDefault="00F37042" w:rsidP="00F37042">
      <w:pPr>
        <w:autoSpaceDE w:val="0"/>
        <w:autoSpaceDN w:val="0"/>
        <w:adjustRightInd w:val="0"/>
        <w:spacing w:before="0" w:after="0"/>
        <w:ind w:left="708"/>
        <w:jc w:val="left"/>
        <w:rPr>
          <w:rFonts w:ascii="Times New Roman" w:hAnsi="Times New Roman"/>
          <w:sz w:val="24"/>
        </w:rPr>
      </w:pPr>
      <w:r w:rsidRPr="004B6DCE">
        <w:rPr>
          <w:rFonts w:ascii="Times New Roman" w:hAnsi="Times New Roman"/>
          <w:sz w:val="24"/>
        </w:rPr>
        <w:t>Б.6.8) Поясняваща позиция: Експозиции на дребно — други, различни от МСП</w:t>
      </w:r>
    </w:p>
    <w:p w14:paraId="75B56F15" w14:textId="6EAC1815" w:rsidR="00F37042" w:rsidRPr="004B6DCE" w:rsidRDefault="00F37042" w:rsidP="00F37042">
      <w:pPr>
        <w:pStyle w:val="ListParagraph"/>
        <w:autoSpaceDE w:val="0"/>
        <w:autoSpaceDN w:val="0"/>
        <w:adjustRightInd w:val="0"/>
        <w:spacing w:before="0" w:after="0"/>
        <w:ind w:left="1418"/>
        <w:jc w:val="left"/>
        <w:rPr>
          <w:rFonts w:ascii="Times New Roman" w:hAnsi="Times New Roman"/>
          <w:sz w:val="24"/>
        </w:rPr>
      </w:pPr>
      <w:r w:rsidRPr="004B6DCE">
        <w:rPr>
          <w:rFonts w:ascii="Times New Roman" w:hAnsi="Times New Roman"/>
          <w:sz w:val="24"/>
        </w:rPr>
        <w:t>(Експозициите на дребно, посочени в член 147, параграф 2, буква г), подточка iv) от Регламент (ЕС) № 575/2013, които не са докладвани в Б.6.5 и Б.6.6, не във връзка с член 5, параграф 8 от Регламент (ЕС) № 575/2013).</w:t>
      </w:r>
    </w:p>
    <w:p w14:paraId="31C5A22B" w14:textId="61C91BE4" w:rsidR="00FB3D09" w:rsidRPr="004B6DCE" w:rsidRDefault="00DB50AA" w:rsidP="00E13BD0">
      <w:pPr>
        <w:pStyle w:val="ListParagraph1"/>
        <w:autoSpaceDE w:val="0"/>
        <w:autoSpaceDN w:val="0"/>
        <w:adjustRightInd w:val="0"/>
        <w:spacing w:before="0" w:after="0"/>
        <w:ind w:left="0" w:firstLine="720"/>
        <w:jc w:val="left"/>
        <w:rPr>
          <w:rFonts w:ascii="Times New Roman" w:hAnsi="Times New Roman"/>
          <w:sz w:val="24"/>
        </w:rPr>
      </w:pPr>
      <w:r w:rsidRPr="004B6DCE">
        <w:rPr>
          <w:rFonts w:ascii="Times New Roman" w:hAnsi="Times New Roman"/>
          <w:sz w:val="24"/>
        </w:rPr>
        <w:t>Б.7)</w:t>
      </w:r>
      <w:r w:rsidRPr="004B6DCE">
        <w:rPr>
          <w:rFonts w:ascii="Times New Roman" w:hAnsi="Times New Roman"/>
          <w:sz w:val="24"/>
        </w:rPr>
        <w:tab/>
        <w:t>Предприятия за колективно инвестиране (ПКИ)</w:t>
      </w:r>
    </w:p>
    <w:p w14:paraId="46A3FB56" w14:textId="38464F9F" w:rsidR="00FB3D09" w:rsidRPr="004B6DCE" w:rsidDel="00C72B5D" w:rsidRDefault="00FB3D09" w:rsidP="00126E51">
      <w:pPr>
        <w:autoSpaceDE w:val="0"/>
        <w:autoSpaceDN w:val="0"/>
        <w:adjustRightInd w:val="0"/>
        <w:spacing w:before="0" w:after="0"/>
        <w:ind w:left="1416"/>
        <w:jc w:val="left"/>
        <w:rPr>
          <w:rFonts w:ascii="Times New Roman" w:hAnsi="Times New Roman"/>
          <w:sz w:val="24"/>
        </w:rPr>
      </w:pPr>
      <w:r w:rsidRPr="004B6DCE">
        <w:rPr>
          <w:rFonts w:ascii="Times New Roman" w:hAnsi="Times New Roman"/>
          <w:sz w:val="24"/>
        </w:rPr>
        <w:t>Експозиции под формата на дялове или акции в предприятия за колективно инвестиране (ПКИ), посочени в член 147, параграф 2, буква да) от Регламент (ЕС) № 575/2013</w:t>
      </w:r>
    </w:p>
    <w:p w14:paraId="1BEDE351" w14:textId="77777777" w:rsidR="00FB3D09" w:rsidRPr="004B6DCE" w:rsidRDefault="00FB3D09" w:rsidP="00FB3D09">
      <w:pPr>
        <w:spacing w:before="0" w:after="0"/>
        <w:ind w:left="709"/>
        <w:jc w:val="left"/>
        <w:rPr>
          <w:rFonts w:ascii="Times New Roman" w:hAnsi="Times New Roman"/>
          <w:sz w:val="24"/>
          <w:lang w:eastAsia="de-DE"/>
        </w:rPr>
      </w:pPr>
    </w:p>
    <w:p w14:paraId="677C9432" w14:textId="62D96D61" w:rsidR="00FB3D09" w:rsidRPr="004B6DCE" w:rsidRDefault="00FB3D09" w:rsidP="00FB3D09">
      <w:pPr>
        <w:spacing w:before="0" w:after="240"/>
        <w:jc w:val="left"/>
        <w:rPr>
          <w:rFonts w:ascii="Times New Roman" w:hAnsi="Times New Roman"/>
          <w:sz w:val="24"/>
        </w:rPr>
      </w:pPr>
      <w:r w:rsidRPr="004B6DCE">
        <w:rPr>
          <w:rFonts w:ascii="Times New Roman" w:hAnsi="Times New Roman"/>
          <w:sz w:val="24"/>
        </w:rPr>
        <w:lastRenderedPageBreak/>
        <w:t xml:space="preserve">3.3.2a. Разяснения по обхвата на някои конкретни класове експозиции, посочени в член 147 от Регламент (ЕС) № 575/2013 </w:t>
      </w:r>
    </w:p>
    <w:p w14:paraId="314E3D92" w14:textId="4C97F668" w:rsidR="00FB3D09" w:rsidRPr="004B6DCE" w:rsidRDefault="00FB3D09" w:rsidP="00FB3D09">
      <w:pPr>
        <w:spacing w:before="0" w:after="240"/>
        <w:jc w:val="left"/>
        <w:rPr>
          <w:rFonts w:ascii="Times New Roman" w:hAnsi="Times New Roman"/>
          <w:sz w:val="24"/>
        </w:rPr>
      </w:pPr>
      <w:r w:rsidRPr="004B6DCE">
        <w:rPr>
          <w:rFonts w:ascii="Times New Roman" w:hAnsi="Times New Roman"/>
          <w:sz w:val="24"/>
        </w:rPr>
        <w:t>3.3.2a.1 Клас експозиции „Предприятия за колективно инвестиране“</w:t>
      </w:r>
    </w:p>
    <w:p w14:paraId="219CEA19" w14:textId="7C695821" w:rsidR="00FB3D09" w:rsidRPr="004B6DCE" w:rsidRDefault="00FB3D09" w:rsidP="00126E51">
      <w:pPr>
        <w:spacing w:before="0" w:after="240"/>
        <w:rPr>
          <w:rFonts w:ascii="Times New Roman" w:hAnsi="Times New Roman"/>
          <w:sz w:val="24"/>
        </w:rPr>
      </w:pPr>
      <w:r w:rsidRPr="004B6DCE">
        <w:rPr>
          <w:rFonts w:ascii="Times New Roman" w:hAnsi="Times New Roman"/>
          <w:sz w:val="24"/>
        </w:rPr>
        <w:t>76a. Всички индивидуални експозиции под формата на дялове или акции в предприятия за колективно инвестиране, за които се прилага подходът на подробен преглед или мандатният подход (член 152, точки 1 и 5 от Регламент (ЕС) № 575/2013), както и експозициите по алтернативния подход се класифицират в класа „Експозиции под формата на дялове или акции в предприятия за колективно инвестиране (ПКИ)“ и се докладват в раздел РАЗБИВКА НА ОБЩИТЕ ЕКСПОЗИЦИИ ПО ПОДХОД (ПКИ).</w:t>
      </w:r>
    </w:p>
    <w:p w14:paraId="1BCD95AE" w14:textId="76EFAF4A" w:rsidR="00FB3D09" w:rsidRPr="004B6DCE" w:rsidRDefault="00FC2C95" w:rsidP="00126E51">
      <w:pPr>
        <w:spacing w:before="0" w:after="240"/>
        <w:rPr>
          <w:rFonts w:ascii="Times New Roman" w:hAnsi="Times New Roman"/>
          <w:sz w:val="24"/>
        </w:rPr>
      </w:pPr>
      <w:r w:rsidRPr="004B6DCE">
        <w:rPr>
          <w:rFonts w:ascii="Times New Roman" w:hAnsi="Times New Roman"/>
          <w:sz w:val="24"/>
        </w:rPr>
        <w:t>76б. В случай че се използва подходът на подробен преглед (член 152, точка 1 от Регламент (ЕС) № 575/2013), базисните индивидуални експозиции (в допълнение към горепосочената класификация като „ПКИ“) се класифицират в съответния клас експозиции и се докладват като поясняваща позиция в ред 0190 на образец C 08.01 във връзка с подхода на подробен преглед (за този клас експозиции).Така — при подхода на подробен преглед, базисната индивидуална експозиция не е част от общите експозиции по съответния клас експозиции, а се отнася към клас експозиции „ПКИ“. Когато накрая към някои от базисните експозиции се прилага стандартизираният подход, тези експозиции следва да се докладват в образец CR SA (C 07.00) в клас експозиции „Предприятия за колективно инвестиране“. В този образец се докладват само базисните експозиции, за които за изчисляване на капиталовите изисквания е използван вътрешнорейтингов метод. Независимо от това следните базисни експозиции не се докладват в образци CR IRB:</w:t>
      </w:r>
    </w:p>
    <w:p w14:paraId="38F3EA76" w14:textId="77777777" w:rsidR="00FB3D09" w:rsidRPr="004B6DCE" w:rsidRDefault="00FB3D09" w:rsidP="00FB3D09">
      <w:pPr>
        <w:pStyle w:val="InstructionsText2"/>
        <w:numPr>
          <w:ilvl w:val="0"/>
          <w:numId w:val="0"/>
        </w:numPr>
        <w:ind w:left="993"/>
      </w:pPr>
      <w:r w:rsidRPr="004B6DCE">
        <w:t>i)</w:t>
      </w:r>
      <w:r w:rsidRPr="004B6DCE">
        <w:tab/>
        <w:t xml:space="preserve">експозициите към капиталови инструменти, които са докладвани в образец CR EQU IRB; </w:t>
      </w:r>
    </w:p>
    <w:p w14:paraId="007677D4" w14:textId="77777777" w:rsidR="00FB3D09" w:rsidRPr="004B6DCE" w:rsidRDefault="00FB3D09" w:rsidP="00FB3D09">
      <w:pPr>
        <w:pStyle w:val="InstructionsText2"/>
        <w:numPr>
          <w:ilvl w:val="0"/>
          <w:numId w:val="0"/>
        </w:numPr>
        <w:ind w:left="993"/>
      </w:pPr>
      <w:r w:rsidRPr="004B6DCE">
        <w:t>ii)</w:t>
      </w:r>
      <w:r w:rsidRPr="004B6DCE">
        <w:tab/>
        <w:t>секюритизиращите позиции, които са докладвани в образци CR SEC SA и/или CR SEC Details;</w:t>
      </w:r>
    </w:p>
    <w:p w14:paraId="3868B76C" w14:textId="77777777" w:rsidR="00FB3D09" w:rsidRPr="004B6DC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sidRPr="004B6DCE">
        <w:rPr>
          <w:rFonts w:ascii="Times New Roman" w:hAnsi="Times New Roman"/>
          <w:sz w:val="24"/>
        </w:rPr>
        <w:t>3.3.3.</w:t>
      </w:r>
      <w:r w:rsidRPr="004B6DCE">
        <w:rPr>
          <w:rFonts w:ascii="Times New Roman" w:hAnsi="Times New Roman"/>
          <w:sz w:val="24"/>
        </w:rPr>
        <w:tab/>
        <w:t>C 08.01 – Кредитен риск и кредитен риск от контрагента и свободни доставки: вътрешнорейтингов поход към капиталовите изисквания (CR IRB 1)</w:t>
      </w:r>
      <w:bookmarkEnd w:id="11"/>
    </w:p>
    <w:p w14:paraId="24516C06" w14:textId="77777777" w:rsidR="00FB3D09" w:rsidRPr="004B6DC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sidRPr="004B6DCE">
        <w:rPr>
          <w:rFonts w:ascii="Times New Roman" w:hAnsi="Times New Roman"/>
          <w:sz w:val="24"/>
          <w:u w:val="none"/>
        </w:rPr>
        <w:t>3.3.3.1</w:t>
      </w:r>
      <w:r w:rsidRPr="004B6DCE">
        <w:rPr>
          <w:rFonts w:ascii="Times New Roman" w:hAnsi="Times New Roman"/>
          <w:sz w:val="24"/>
          <w:u w:val="none"/>
        </w:rPr>
        <w:tab/>
      </w:r>
      <w:r w:rsidRPr="004B6DCE">
        <w:rPr>
          <w:rFonts w:ascii="Times New Roman" w:hAnsi="Times New Roman"/>
          <w:sz w:val="24"/>
        </w:rPr>
        <w:t>Указания относно конкретни позиции</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4B6DCE" w14:paraId="57EC16E2" w14:textId="77777777" w:rsidTr="00822842">
        <w:tc>
          <w:tcPr>
            <w:tcW w:w="1188" w:type="dxa"/>
            <w:shd w:val="clear" w:color="auto" w:fill="CCCCCC"/>
          </w:tcPr>
          <w:p w14:paraId="62A9E816" w14:textId="77777777" w:rsidR="00FB3D09" w:rsidRPr="004B6DCE" w:rsidRDefault="00FB3D09" w:rsidP="00822842">
            <w:pPr>
              <w:rPr>
                <w:rFonts w:ascii="Times New Roman" w:hAnsi="Times New Roman"/>
                <w:sz w:val="24"/>
              </w:rPr>
            </w:pPr>
            <w:r w:rsidRPr="004B6DCE">
              <w:rPr>
                <w:rFonts w:ascii="Times New Roman" w:hAnsi="Times New Roman"/>
                <w:sz w:val="24"/>
              </w:rPr>
              <w:t>Колони</w:t>
            </w:r>
          </w:p>
        </w:tc>
        <w:tc>
          <w:tcPr>
            <w:tcW w:w="8843" w:type="dxa"/>
            <w:shd w:val="clear" w:color="auto" w:fill="CCCCCC"/>
          </w:tcPr>
          <w:p w14:paraId="2B397FE4"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6D2D58B3" w14:textId="77777777" w:rsidTr="00822842">
        <w:tc>
          <w:tcPr>
            <w:tcW w:w="1188" w:type="dxa"/>
          </w:tcPr>
          <w:p w14:paraId="1736B9C4" w14:textId="77777777" w:rsidR="00FB3D09" w:rsidRPr="004B6DCE" w:rsidRDefault="00FB3D09" w:rsidP="00822842">
            <w:pPr>
              <w:rPr>
                <w:rFonts w:ascii="Times New Roman" w:hAnsi="Times New Roman"/>
                <w:sz w:val="24"/>
              </w:rPr>
            </w:pPr>
            <w:r w:rsidRPr="004B6DCE">
              <w:rPr>
                <w:rFonts w:ascii="Times New Roman" w:hAnsi="Times New Roman"/>
                <w:sz w:val="24"/>
              </w:rPr>
              <w:t>0010</w:t>
            </w:r>
          </w:p>
        </w:tc>
        <w:tc>
          <w:tcPr>
            <w:tcW w:w="8843" w:type="dxa"/>
          </w:tcPr>
          <w:p w14:paraId="298149A1"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ВЪТРЕШНОРЕЙТИНГОВА СКАЛА / ВЕРОЯТНОСТ ОТ НЕИЗПЪЛНЕНИЕ, ОТНЕСЕНА КЪМ КАТЕГОРИИ ИЛИ ГРУПИ ДЛЪЖНИЦИ (%)</w:t>
            </w:r>
          </w:p>
          <w:p w14:paraId="5FF26C85" w14:textId="77777777" w:rsidR="00FB3D09" w:rsidRPr="004B6DCE" w:rsidRDefault="00FB3D09" w:rsidP="00822842">
            <w:pPr>
              <w:rPr>
                <w:rFonts w:ascii="Times New Roman" w:hAnsi="Times New Roman"/>
                <w:sz w:val="24"/>
              </w:rPr>
            </w:pPr>
            <w:r w:rsidRPr="004B6DCE">
              <w:rPr>
                <w:rFonts w:ascii="Times New Roman" w:hAnsi="Times New Roman"/>
                <w:sz w:val="24"/>
              </w:rPr>
              <w:t>Докладваната вероятност от неизпълнение, определена за категорията или групата длъжници, се основава на разпоредбите на член 180 от Регламент (ЕС) № 575/2013.</w:t>
            </w:r>
            <w:r w:rsidRPr="004B6DCE">
              <w:rPr>
                <w:rStyle w:val="InstructionsTabelleText"/>
                <w:rFonts w:ascii="Times New Roman" w:hAnsi="Times New Roman"/>
                <w:sz w:val="24"/>
              </w:rPr>
              <w:t xml:space="preserve"> За всяка категория или група длъжници се докладва вероятността от неизпълнение, отнесена към тази категория или група. По отношение на данните, съответстващи на сумираните категории или групи длъжници (например „общите експозиции“), се докладват средно претеглените по експозиции вероятности от неизпълнение, отнесени към категориите или групите длъжници, включени в сумата. </w:t>
            </w:r>
            <w:r w:rsidRPr="004B6DCE">
              <w:rPr>
                <w:rFonts w:ascii="Times New Roman" w:hAnsi="Times New Roman"/>
                <w:sz w:val="24"/>
              </w:rPr>
              <w:t>За изчисляването на средно претеглената по експозициите вероятност от неизпълнение се използва стойността на експозицията (колона 0110).</w:t>
            </w:r>
          </w:p>
          <w:p w14:paraId="723A0BA5"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lastRenderedPageBreak/>
              <w:t>За всяка категория или група длъжници се докладва вероятността от неизпълнение, отнесена към тази категория или група. Всички докладвани параметри на риска се извеждат от параметрите на риска, които се използват във вътрешнорейтинговата скала, одобрена от съответния компетентен орган.</w:t>
            </w:r>
          </w:p>
          <w:p w14:paraId="37DDB745"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 xml:space="preserve">Не е предвидено, нито е желателно да се използва генерална скала, определена от надзорния орган. Ако докладващата институция прилага собствена рейтингова скала или може да докладва съгласно вътрешна генерална скала, то се използва тази скала. </w:t>
            </w:r>
          </w:p>
          <w:p w14:paraId="4FCCB57F"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В противен случай различните рейтингови скали се обединяват и подреждат съгласно следните критерии: Категориите длъжници от различните рейтингови скали се групират и подреждат от по-ниската към по-високата вероятност от неизпълнение отнесени към всяка категория длъжници. Ако институцията използва голям брой категории или групи, тя може да се споразумее с компетентните органи да докладва намален брой категории или групи. Същото се отнася и за непрекъснатите рейтингови скали: с компетентните органи се договаря намален брой категории, които трябва да бъдат докладвани.</w:t>
            </w:r>
          </w:p>
          <w:p w14:paraId="7B5BA465"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Ако искат да докладват различен брой категории в сравнение с вътрешния брой категории, институциите трябва предварително да се свържат със своя компетентен орган.</w:t>
            </w:r>
          </w:p>
          <w:p w14:paraId="05BEC00A"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Последната рейтингова категория (или категории) е предназначена за експозиции в неизпълнение, чиято вероятност от неизпълнение е 100</w:t>
            </w:r>
            <w:r w:rsidRPr="004B6DCE">
              <w:t> </w:t>
            </w:r>
            <w:r w:rsidRPr="004B6DCE">
              <w:rPr>
                <w:rStyle w:val="InstructionsTabelleText"/>
                <w:rFonts w:ascii="Times New Roman" w:hAnsi="Times New Roman"/>
                <w:sz w:val="24"/>
              </w:rPr>
              <w:t>%.</w:t>
            </w:r>
          </w:p>
          <w:p w14:paraId="21058E35" w14:textId="53D6092E" w:rsidR="00FB3D09" w:rsidRPr="004B6DCE" w:rsidRDefault="00FB3D09" w:rsidP="00822842">
            <w:pPr>
              <w:rPr>
                <w:rFonts w:ascii="Times New Roman" w:hAnsi="Times New Roman"/>
                <w:sz w:val="24"/>
              </w:rPr>
            </w:pPr>
            <w:r w:rsidRPr="004B6DCE">
              <w:rPr>
                <w:rStyle w:val="InstructionsTabelleText"/>
                <w:rFonts w:ascii="Times New Roman" w:hAnsi="Times New Roman"/>
                <w:sz w:val="24"/>
              </w:rPr>
              <w:t>За целите на средното претегляне на вероятността от неизпълнение се използва стойността на експозицията в колона 110. Среднопретеглената по експозиции вероятност от неизпълнение се изчислява, като се вземат предвид всички експозиции, докладвани в даден ред. В реда, в който се докладват само експозиции в неизпълнение, средната вероятност от неизпълнение е 100 %.</w:t>
            </w:r>
          </w:p>
        </w:tc>
      </w:tr>
      <w:tr w:rsidR="00FB3D09" w:rsidRPr="004B6DCE" w14:paraId="45B04E8D" w14:textId="77777777" w:rsidTr="00822842">
        <w:tc>
          <w:tcPr>
            <w:tcW w:w="1188" w:type="dxa"/>
          </w:tcPr>
          <w:p w14:paraId="7FB0CCE0"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0020</w:t>
            </w:r>
          </w:p>
        </w:tc>
        <w:tc>
          <w:tcPr>
            <w:tcW w:w="8843" w:type="dxa"/>
          </w:tcPr>
          <w:p w14:paraId="3CB0A556"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ПЪРВОНАЧАЛНА ЕКСПОЗИЦИЯ ПРЕДИ ПРИЛАГАНЕТО НА КОНВЕРСИОННИТЕ КОЕФИЦИЕНТИ</w:t>
            </w:r>
          </w:p>
          <w:p w14:paraId="5FC3A6BD"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Институциите докладват стойността на експозицията преди да са взети под внимание каквито и да било корекции на стойността, провизии, ефект на техники за редуциране на кредитния риск или конверсионни коефициенти. </w:t>
            </w:r>
          </w:p>
          <w:p w14:paraId="6FE079F9" w14:textId="77777777" w:rsidR="00FB3D09" w:rsidRPr="004B6DCE" w:rsidRDefault="00FB3D09" w:rsidP="00822842">
            <w:pPr>
              <w:rPr>
                <w:rFonts w:ascii="Times New Roman" w:hAnsi="Times New Roman"/>
                <w:sz w:val="24"/>
              </w:rPr>
            </w:pPr>
            <w:r w:rsidRPr="004B6DCE">
              <w:rPr>
                <w:rFonts w:ascii="Times New Roman" w:hAnsi="Times New Roman"/>
                <w:sz w:val="24"/>
              </w:rPr>
              <w:t>Стойността на първоначалната експозиция се докладва в съответствие с член 24 и член 166, параграфи 1, 2, 4, 5, 6 и 7 от Регламент (ЕС) № 575/2013.</w:t>
            </w:r>
          </w:p>
          <w:p w14:paraId="11B43315"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Ефектът в резултат на член 166, параграф 3 от Регламент (ЕС) № 575/2013 (ефект от балансовото нетиране на кредити и депозити) се докладва отделно като обезпечена кредитна защита и следователно не намалява първоначалната експозиция. </w:t>
            </w:r>
          </w:p>
          <w:p w14:paraId="49185637" w14:textId="77777777" w:rsidR="00FB3D09" w:rsidRPr="004B6DCE" w:rsidRDefault="00FB3D09" w:rsidP="00822842">
            <w:pPr>
              <w:rPr>
                <w:rFonts w:ascii="Times New Roman" w:hAnsi="Times New Roman"/>
                <w:sz w:val="24"/>
              </w:rPr>
            </w:pPr>
            <w:r w:rsidRPr="004B6DCE">
              <w:rPr>
                <w:rFonts w:ascii="Times New Roman" w:hAnsi="Times New Roman"/>
                <w:sz w:val="24"/>
              </w:rPr>
              <w:t>За дериватните инструменти, репо сделките, сделките за предоставяне/получаване в заем на ценни книжа или стоки, сделките с удължен сетълмент и маржин заемните сделки, изложени на кредитен риск от контрагента (трета част, дял II, глава 4 или 6 от Регламент (ЕС) № 575/2013), първоначалната експозиция съответства на стойността на експозицията, произтичаща от кредитния риск от контрагента (вж. указанията към колона 0130).</w:t>
            </w:r>
          </w:p>
        </w:tc>
      </w:tr>
      <w:tr w:rsidR="00FB3D09" w:rsidRPr="004B6DCE" w14:paraId="4820425A" w14:textId="77777777" w:rsidTr="00822842">
        <w:tc>
          <w:tcPr>
            <w:tcW w:w="1188" w:type="dxa"/>
          </w:tcPr>
          <w:p w14:paraId="17C25782" w14:textId="77777777" w:rsidR="00FB3D09" w:rsidRPr="004B6DCE" w:rsidRDefault="00FB3D09" w:rsidP="00822842">
            <w:pPr>
              <w:rPr>
                <w:rFonts w:ascii="Times New Roman" w:hAnsi="Times New Roman"/>
                <w:sz w:val="24"/>
              </w:rPr>
            </w:pPr>
            <w:r w:rsidRPr="004B6DCE">
              <w:rPr>
                <w:rFonts w:ascii="Times New Roman" w:hAnsi="Times New Roman"/>
                <w:sz w:val="24"/>
              </w:rPr>
              <w:t>0030</w:t>
            </w:r>
          </w:p>
        </w:tc>
        <w:tc>
          <w:tcPr>
            <w:tcW w:w="8843" w:type="dxa"/>
          </w:tcPr>
          <w:p w14:paraId="15A3D95D"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В Т.Ч.: ГОЛЕМИ ПРЕДПРИЯТИЯ ОТ ФИНАНСОВИЯ СЕКТОР И НЕРЕГУЛИРАНИ ФИНАНСОВИ ПРЕДПРИЯТИЯ</w:t>
            </w:r>
          </w:p>
          <w:p w14:paraId="49D69508"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lastRenderedPageBreak/>
              <w:t>Разбивката на първоначалната експозиция преди прилагането на конверсионния коефициент за всички експозиции на предприятия, посочени в член 142, параграф 1, точки 4 и 5 от Регламент (ЕС) № 575/2013, за които се прилага по-високият коефициент на корелация, определен в съответствие с член 153, параграф 2 от същия регламент.</w:t>
            </w:r>
          </w:p>
        </w:tc>
      </w:tr>
      <w:tr w:rsidR="00FB3D09" w:rsidRPr="004B6DCE" w14:paraId="216A721A" w14:textId="77777777" w:rsidTr="00822842">
        <w:tc>
          <w:tcPr>
            <w:tcW w:w="1188" w:type="dxa"/>
          </w:tcPr>
          <w:p w14:paraId="189E467F"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0040-0080</w:t>
            </w:r>
          </w:p>
        </w:tc>
        <w:tc>
          <w:tcPr>
            <w:tcW w:w="8843" w:type="dxa"/>
          </w:tcPr>
          <w:p w14:paraId="0B033AC6"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ТЕХНИКИ ЗА РЕДУЦИРАНЕ НА КРЕДИТНИЯ РИСК С ЕФЕКТ НА ЗАМЕСТВАНЕ ВЪРХУ ЕКСПОЗИЦИЯТА</w:t>
            </w:r>
          </w:p>
          <w:p w14:paraId="15F28018" w14:textId="77777777" w:rsidR="00FB3D09" w:rsidRPr="004B6DCE" w:rsidRDefault="00FB3D09" w:rsidP="00822842">
            <w:pPr>
              <w:rPr>
                <w:rFonts w:ascii="Times New Roman" w:hAnsi="Times New Roman"/>
                <w:sz w:val="24"/>
              </w:rPr>
            </w:pPr>
            <w:r w:rsidRPr="004B6DCE">
              <w:rPr>
                <w:rFonts w:ascii="Times New Roman" w:hAnsi="Times New Roman"/>
                <w:sz w:val="24"/>
              </w:rPr>
              <w:t>Редуциране на кредитния риск по смисъла на член 4, параграф 1, точка 57 от Регламент (ЕС) № 575/2013, с които се намалява кредитният риск на една или няколко експозиции чрез заместването на експозиции, както е определено по-долу в „ЗАМЕСТВАНЕ НА ЕКСПОЗИЦИЯТА ПОРАДИ РЕДУЦИРАНЕ НА КРЕДИТНИЯ РИСК“.</w:t>
            </w:r>
          </w:p>
          <w:p w14:paraId="1328DB1C" w14:textId="77777777" w:rsidR="00FB3D09" w:rsidRPr="004B6DCE" w:rsidRDefault="00FB3D09" w:rsidP="00822842">
            <w:pPr>
              <w:autoSpaceDE w:val="0"/>
              <w:autoSpaceDN w:val="0"/>
              <w:adjustRightInd w:val="0"/>
              <w:spacing w:before="0" w:after="0"/>
              <w:jc w:val="left"/>
              <w:rPr>
                <w:rFonts w:ascii="Times New Roman" w:hAnsi="Times New Roman"/>
                <w:sz w:val="24"/>
              </w:rPr>
            </w:pPr>
          </w:p>
        </w:tc>
      </w:tr>
      <w:tr w:rsidR="00FB3D09" w:rsidRPr="004B6DCE" w14:paraId="4BD2F7DD" w14:textId="77777777" w:rsidTr="00822842">
        <w:tc>
          <w:tcPr>
            <w:tcW w:w="1188" w:type="dxa"/>
          </w:tcPr>
          <w:p w14:paraId="0BA81A61" w14:textId="77777777" w:rsidR="00FB3D09" w:rsidRPr="004B6DCE" w:rsidRDefault="00FB3D09" w:rsidP="00822842">
            <w:pPr>
              <w:rPr>
                <w:rFonts w:ascii="Times New Roman" w:hAnsi="Times New Roman"/>
                <w:sz w:val="24"/>
              </w:rPr>
            </w:pPr>
            <w:r w:rsidRPr="004B6DCE">
              <w:rPr>
                <w:rFonts w:ascii="Times New Roman" w:hAnsi="Times New Roman"/>
                <w:sz w:val="24"/>
              </w:rPr>
              <w:t>0040-0050</w:t>
            </w:r>
          </w:p>
        </w:tc>
        <w:tc>
          <w:tcPr>
            <w:tcW w:w="8843" w:type="dxa"/>
          </w:tcPr>
          <w:p w14:paraId="4B08A0ED"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КРЕДИТНА ЗАЩИТА С ГАРАНЦИИ</w:t>
            </w:r>
          </w:p>
          <w:p w14:paraId="25128BF3" w14:textId="77777777" w:rsidR="00FB3D09" w:rsidRPr="004B6DCE" w:rsidRDefault="00FB3D09" w:rsidP="00822842">
            <w:pPr>
              <w:rPr>
                <w:rStyle w:val="InstructionsTabelleText"/>
                <w:rFonts w:ascii="Times New Roman" w:hAnsi="Times New Roman"/>
                <w:sz w:val="24"/>
              </w:rPr>
            </w:pPr>
            <w:r w:rsidRPr="004B6DCE">
              <w:rPr>
                <w:rFonts w:ascii="Times New Roman" w:hAnsi="Times New Roman"/>
                <w:sz w:val="24"/>
              </w:rPr>
              <w:t>Кредитната защита с гаранции по смисъла на член 4, параграф 1, точка 59 от Регламент (ЕС) № 575/2013.</w:t>
            </w:r>
          </w:p>
          <w:p w14:paraId="538FB9AD" w14:textId="77777777" w:rsidR="00FB3D09" w:rsidRPr="004B6DCE" w:rsidRDefault="00FB3D09" w:rsidP="00822842">
            <w:pPr>
              <w:rPr>
                <w:rFonts w:ascii="Times New Roman" w:hAnsi="Times New Roman"/>
                <w:sz w:val="24"/>
              </w:rPr>
            </w:pPr>
            <w:r w:rsidRPr="004B6DCE">
              <w:rPr>
                <w:rFonts w:ascii="Times New Roman" w:hAnsi="Times New Roman"/>
                <w:sz w:val="24"/>
              </w:rPr>
              <w:t>За кредитната защита с гаранции, която оказва въздействие върху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tc>
      </w:tr>
      <w:tr w:rsidR="00FB3D09" w:rsidRPr="004B6DCE" w14:paraId="4279348F" w14:textId="77777777" w:rsidTr="00822842">
        <w:tc>
          <w:tcPr>
            <w:tcW w:w="1188" w:type="dxa"/>
          </w:tcPr>
          <w:p w14:paraId="777BC734" w14:textId="77777777" w:rsidR="00FB3D09" w:rsidRPr="004B6DCE" w:rsidRDefault="00FB3D09" w:rsidP="00822842">
            <w:pPr>
              <w:rPr>
                <w:rFonts w:ascii="Times New Roman" w:hAnsi="Times New Roman"/>
                <w:sz w:val="24"/>
              </w:rPr>
            </w:pPr>
            <w:r w:rsidRPr="004B6DCE">
              <w:rPr>
                <w:rFonts w:ascii="Times New Roman" w:hAnsi="Times New Roman"/>
                <w:sz w:val="24"/>
              </w:rPr>
              <w:t>0040</w:t>
            </w:r>
          </w:p>
        </w:tc>
        <w:tc>
          <w:tcPr>
            <w:tcW w:w="8843" w:type="dxa"/>
          </w:tcPr>
          <w:p w14:paraId="629601A3" w14:textId="77777777" w:rsidR="00FB3D09" w:rsidRPr="004B6DCE" w:rsidRDefault="00FB3D09" w:rsidP="00822842">
            <w:pPr>
              <w:jc w:val="left"/>
              <w:rPr>
                <w:rStyle w:val="InstructionsTabelleberschrift"/>
                <w:rFonts w:ascii="Times New Roman" w:hAnsi="Times New Roman"/>
                <w:sz w:val="24"/>
              </w:rPr>
            </w:pPr>
            <w:r w:rsidRPr="004B6DCE">
              <w:rPr>
                <w:rStyle w:val="InstructionsTabelleberschrift"/>
                <w:rFonts w:ascii="Times New Roman" w:hAnsi="Times New Roman"/>
                <w:sz w:val="24"/>
              </w:rPr>
              <w:t>ГАРАНЦИИ:</w:t>
            </w:r>
          </w:p>
          <w:p w14:paraId="2FC9ABD9" w14:textId="7C572507" w:rsidR="00FB3D09" w:rsidRPr="004B6DCE" w:rsidRDefault="00FB3D09" w:rsidP="00822842">
            <w:pPr>
              <w:jc w:val="left"/>
              <w:rPr>
                <w:rFonts w:ascii="Times New Roman" w:hAnsi="Times New Roman"/>
                <w:sz w:val="24"/>
              </w:rPr>
            </w:pPr>
            <w:r w:rsidRPr="004B6DCE">
              <w:rPr>
                <w:rFonts w:ascii="Times New Roman" w:hAnsi="Times New Roman"/>
                <w:sz w:val="24"/>
              </w:rPr>
              <w:t>Когато рисково претегленият размер на експозициите се изчислява съгласно подхода на заместване в съответствие с глава 4 от Регламент (ЕС) № 575/2013 (член 108, параграф 2а, второ изречение, член 183, параграф 1а, първо изречение, втори вариант, член 235а, член 236, член 236а), се посочва коригираната стойност (G</w:t>
            </w:r>
            <w:r w:rsidRPr="004B6DCE">
              <w:rPr>
                <w:rFonts w:ascii="Times New Roman" w:hAnsi="Times New Roman"/>
                <w:sz w:val="24"/>
                <w:vertAlign w:val="subscript"/>
              </w:rPr>
              <w:t>A</w:t>
            </w:r>
            <w:r w:rsidRPr="004B6DCE">
              <w:rPr>
                <w:rFonts w:ascii="Times New Roman" w:hAnsi="Times New Roman"/>
                <w:sz w:val="24"/>
              </w:rPr>
              <w:t>) съгласно определението в член 235а, параграф 1 от Регламент (ЕС) № 575/2013.</w:t>
            </w:r>
          </w:p>
          <w:p w14:paraId="66D2714E" w14:textId="77777777" w:rsidR="00FB3D09" w:rsidRPr="004B6DCE" w:rsidRDefault="00FB3D09" w:rsidP="00822842">
            <w:pPr>
              <w:jc w:val="left"/>
              <w:rPr>
                <w:rFonts w:ascii="Times New Roman" w:hAnsi="Times New Roman"/>
                <w:sz w:val="24"/>
              </w:rPr>
            </w:pPr>
            <w:r w:rsidRPr="004B6DCE">
              <w:rPr>
                <w:rFonts w:ascii="Times New Roman" w:hAnsi="Times New Roman"/>
                <w:sz w:val="24"/>
              </w:rPr>
              <w:t xml:space="preserve">Когато се използват собствени оценки на LGD в съответствие с член 183 от Регламент (ЕС) № 575/2013 (изключение на параграф 3), се докладва съответната стойност, която се използва във вътрешния модел. </w:t>
            </w:r>
          </w:p>
          <w:p w14:paraId="0F837DAE" w14:textId="6FB660DD" w:rsidR="00FB3D09" w:rsidRPr="004B6DCE" w:rsidRDefault="00FB3D09" w:rsidP="00822842">
            <w:pPr>
              <w:jc w:val="left"/>
              <w:rPr>
                <w:rFonts w:ascii="Times New Roman" w:hAnsi="Times New Roman"/>
                <w:sz w:val="24"/>
              </w:rPr>
            </w:pPr>
            <w:r w:rsidRPr="004B6DCE">
              <w:rPr>
                <w:rFonts w:ascii="Times New Roman" w:hAnsi="Times New Roman"/>
                <w:sz w:val="24"/>
              </w:rPr>
              <w:t>Когато се използва подходът на моделиране на корекцията PD/LGD в съответствие с член 108, параграф 2а, първо изречение и член 183, параграф 1а и корекцията се извършва в LGD, размерът на гаранцията се докладва в колона 0150.</w:t>
            </w:r>
          </w:p>
        </w:tc>
      </w:tr>
      <w:tr w:rsidR="00FB3D09" w:rsidRPr="004B6DCE" w14:paraId="10449AF9" w14:textId="77777777" w:rsidTr="00822842">
        <w:tc>
          <w:tcPr>
            <w:tcW w:w="1188" w:type="dxa"/>
          </w:tcPr>
          <w:p w14:paraId="3EE21C34" w14:textId="77777777" w:rsidR="00FB3D09" w:rsidRPr="004B6DCE" w:rsidRDefault="00FB3D09" w:rsidP="00822842">
            <w:pPr>
              <w:rPr>
                <w:rFonts w:ascii="Times New Roman" w:hAnsi="Times New Roman"/>
                <w:sz w:val="24"/>
              </w:rPr>
            </w:pPr>
            <w:r w:rsidRPr="004B6DCE">
              <w:rPr>
                <w:rFonts w:ascii="Times New Roman" w:hAnsi="Times New Roman"/>
                <w:sz w:val="24"/>
              </w:rPr>
              <w:t>0050</w:t>
            </w:r>
          </w:p>
        </w:tc>
        <w:tc>
          <w:tcPr>
            <w:tcW w:w="8843" w:type="dxa"/>
          </w:tcPr>
          <w:p w14:paraId="0360D0F5"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КРЕДИТНИ ДЕРИВАТИ:</w:t>
            </w:r>
          </w:p>
          <w:p w14:paraId="244ABC5F" w14:textId="381DD996" w:rsidR="00FB3D09" w:rsidRPr="004B6DCE" w:rsidRDefault="00FB3D09" w:rsidP="00822842">
            <w:pPr>
              <w:jc w:val="left"/>
              <w:rPr>
                <w:rFonts w:ascii="Times New Roman" w:hAnsi="Times New Roman"/>
                <w:sz w:val="24"/>
              </w:rPr>
            </w:pPr>
            <w:r w:rsidRPr="004B6DCE">
              <w:rPr>
                <w:rFonts w:ascii="Times New Roman" w:hAnsi="Times New Roman"/>
                <w:sz w:val="24"/>
              </w:rPr>
              <w:t>Когато рисково претегленият размер на експозициите се изчислява съгласно подхода на заместване (член 108, параграф 2а, второ изречение, член 183, параграф 1а, първо изречение, втори вариант, член 235а, член 236, член 236а от Регламент (ЕС) № 575/2013), се посочва коригираната стойност (GA) съгласно определението в член 235а, параграф 1 от Регламент (ЕС) № 575/2013.</w:t>
            </w:r>
          </w:p>
          <w:p w14:paraId="4A934ED8" w14:textId="104690E2" w:rsidR="00FB3D09" w:rsidRPr="004B6DCE" w:rsidRDefault="00FB3D09" w:rsidP="00822842">
            <w:pPr>
              <w:rPr>
                <w:rFonts w:ascii="Times New Roman" w:hAnsi="Times New Roman"/>
                <w:sz w:val="24"/>
              </w:rPr>
            </w:pPr>
            <w:r w:rsidRPr="004B6DCE">
              <w:rPr>
                <w:rFonts w:ascii="Times New Roman" w:hAnsi="Times New Roman"/>
                <w:sz w:val="24"/>
              </w:rPr>
              <w:t xml:space="preserve">Когато се използва подходът на моделиране на корекцията PD/LGD в съответствие с член 108, параграф 2а, първо изречение и член 183, параграф 1а, първо изречение, първи вариант и член 183, параграф 3 от Регламент (ЕС) № 575/2013 корекцията се </w:t>
            </w:r>
            <w:r w:rsidRPr="004B6DCE">
              <w:rPr>
                <w:rFonts w:ascii="Times New Roman" w:hAnsi="Times New Roman"/>
                <w:sz w:val="24"/>
              </w:rPr>
              <w:lastRenderedPageBreak/>
              <w:t>извършва в LGD, размерът на кредитните деривати се докладва в колона 0160.</w:t>
            </w:r>
            <w:r w:rsidRPr="004B6DCE">
              <w:rPr>
                <w:rFonts w:ascii="Times New Roman" w:hAnsi="Times New Roman"/>
                <w:color w:val="008080"/>
                <w:sz w:val="24"/>
                <w:u w:val="single"/>
              </w:rPr>
              <w:t xml:space="preserve"> </w:t>
            </w:r>
            <w:r w:rsidRPr="004B6DCE">
              <w:rPr>
                <w:rFonts w:ascii="Times New Roman" w:hAnsi="Times New Roman"/>
                <w:sz w:val="24"/>
              </w:rPr>
              <w:t>Докладва се съответната стойност, която се използва във вътрешния модел.</w:t>
            </w:r>
          </w:p>
        </w:tc>
      </w:tr>
      <w:tr w:rsidR="00FB3D09" w:rsidRPr="004B6DCE" w14:paraId="62414089" w14:textId="77777777" w:rsidTr="00822842">
        <w:tc>
          <w:tcPr>
            <w:tcW w:w="1188" w:type="dxa"/>
          </w:tcPr>
          <w:p w14:paraId="32FA0884"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0060</w:t>
            </w:r>
          </w:p>
        </w:tc>
        <w:tc>
          <w:tcPr>
            <w:tcW w:w="8843" w:type="dxa"/>
          </w:tcPr>
          <w:p w14:paraId="3D25836C"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ДРУГА ОБЕЗПЕЧЕНА КРЕДИТНА ЗАЩИТА</w:t>
            </w:r>
          </w:p>
          <w:p w14:paraId="632FAD69" w14:textId="77777777" w:rsidR="00FB3D09" w:rsidRPr="004B6DCE" w:rsidRDefault="00FB3D09" w:rsidP="00822842">
            <w:pPr>
              <w:rPr>
                <w:rFonts w:ascii="Times New Roman" w:hAnsi="Times New Roman"/>
                <w:sz w:val="24"/>
              </w:rPr>
            </w:pPr>
            <w:r w:rsidRPr="004B6DCE">
              <w:rPr>
                <w:rFonts w:ascii="Times New Roman" w:hAnsi="Times New Roman"/>
                <w:sz w:val="24"/>
              </w:rPr>
              <w:t>Когато не се използват собствени оценки на LGD, се прилага член 232, параграф 1 от Регламент (ЕС) № 575/2013.</w:t>
            </w:r>
          </w:p>
          <w:p w14:paraId="371C738E" w14:textId="77777777" w:rsidR="00FB3D09" w:rsidRPr="004B6DCE" w:rsidRDefault="00FB3D09" w:rsidP="00822842">
            <w:pPr>
              <w:jc w:val="left"/>
              <w:rPr>
                <w:rFonts w:ascii="Times New Roman" w:hAnsi="Times New Roman"/>
                <w:sz w:val="24"/>
              </w:rPr>
            </w:pPr>
            <w:r w:rsidRPr="004B6DCE">
              <w:rPr>
                <w:rFonts w:ascii="Times New Roman" w:hAnsi="Times New Roman"/>
                <w:sz w:val="24"/>
              </w:rPr>
              <w:t>Когато рисково претегленият размер на експозициите се изчислява съгласно подхода на заместване (член 108, параграф 2а, второ изречение, член 183, параграф 1а, първо изречение, втори вариант, член 235а, член 236 от Регламент (ЕС) № 575/2013), се посочва коригираната стойност (GA) съгласно определението в член 235а, параграф 1 от Регламент (ЕС) № 575/2013.</w:t>
            </w:r>
          </w:p>
          <w:p w14:paraId="5989E354" w14:textId="7E30FA86" w:rsidR="00FB3D09" w:rsidRPr="004B6DCE" w:rsidRDefault="00FB3D09" w:rsidP="00822842">
            <w:pPr>
              <w:rPr>
                <w:rFonts w:ascii="Times New Roman" w:hAnsi="Times New Roman"/>
                <w:sz w:val="24"/>
              </w:rPr>
            </w:pPr>
            <w:r w:rsidRPr="004B6DCE">
              <w:rPr>
                <w:rFonts w:ascii="Times New Roman" w:hAnsi="Times New Roman"/>
                <w:sz w:val="24"/>
              </w:rPr>
              <w:t>За експозицията следва да се определи таван, равен на стойността на първоначалната експозиция преди прилагането на конверсионните коефициенти.</w:t>
            </w:r>
          </w:p>
          <w:p w14:paraId="74A46846" w14:textId="29D167DC" w:rsidR="00FB3D09" w:rsidRPr="004B6DCE" w:rsidRDefault="00FB3D09" w:rsidP="00822842">
            <w:pPr>
              <w:rPr>
                <w:rStyle w:val="InstructionsTabelleText"/>
                <w:rFonts w:ascii="Times New Roman" w:hAnsi="Times New Roman"/>
                <w:sz w:val="24"/>
              </w:rPr>
            </w:pPr>
            <w:r w:rsidRPr="004B6DCE">
              <w:rPr>
                <w:rFonts w:ascii="Times New Roman" w:hAnsi="Times New Roman"/>
                <w:sz w:val="24"/>
              </w:rPr>
              <w:t xml:space="preserve">Когато е направена корекция в LGD съгласно член 181 от Регламент (ЕС) № 575/2013, тази стойност се докладва в колона 0170. </w:t>
            </w:r>
          </w:p>
        </w:tc>
      </w:tr>
      <w:tr w:rsidR="00FB3D09" w:rsidRPr="004B6DCE" w14:paraId="6C40B204" w14:textId="77777777" w:rsidTr="00822842">
        <w:tc>
          <w:tcPr>
            <w:tcW w:w="1188" w:type="dxa"/>
          </w:tcPr>
          <w:p w14:paraId="7C55B264" w14:textId="77777777" w:rsidR="00FB3D09" w:rsidRPr="004B6DCE" w:rsidRDefault="00FB3D09" w:rsidP="00822842">
            <w:pPr>
              <w:rPr>
                <w:rFonts w:ascii="Times New Roman" w:hAnsi="Times New Roman"/>
                <w:sz w:val="24"/>
              </w:rPr>
            </w:pPr>
            <w:r w:rsidRPr="004B6DCE">
              <w:rPr>
                <w:rFonts w:ascii="Times New Roman" w:hAnsi="Times New Roman"/>
                <w:sz w:val="24"/>
              </w:rPr>
              <w:t>0070-0080</w:t>
            </w:r>
          </w:p>
        </w:tc>
        <w:tc>
          <w:tcPr>
            <w:tcW w:w="8843" w:type="dxa"/>
          </w:tcPr>
          <w:p w14:paraId="7EA9925F"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ЗАМЕСТВАНЕ НА ЕКСПОЗИЦИЯТА ПОРАДИ РЕДУЦИРАНЕ НА КРЕДИТНИЯ РИСК</w:t>
            </w:r>
          </w:p>
          <w:p w14:paraId="4A614404" w14:textId="0D3BCE2F" w:rsidR="00FB3D09" w:rsidRPr="004B6DCE" w:rsidRDefault="00FB3D09" w:rsidP="00822842">
            <w:pPr>
              <w:rPr>
                <w:rFonts w:ascii="Times New Roman" w:hAnsi="Times New Roman"/>
                <w:sz w:val="24"/>
              </w:rPr>
            </w:pPr>
            <w:r w:rsidRPr="004B6DCE">
              <w:rPr>
                <w:rFonts w:ascii="Times New Roman" w:hAnsi="Times New Roman"/>
                <w:sz w:val="24"/>
              </w:rPr>
              <w:t>Изходящите потоци съответстват на обезпечената част от първоначалната експозиция преди прилагането на конверсионните коефициенти, която се приспада от класа експозиции на длъжника, а когато е уместно – от категорията или групата на длъжника, и впоследствие е отнесена към класа експозиции на доставчика на кредитна защита, а когато е уместно – към категорията или групата на длъжника. Тази стойност се приема за входящ поток в класа експозиции на доставчика на кредитна защита, а когато е уместно – в категорията или групата на длъжника.</w:t>
            </w:r>
          </w:p>
          <w:p w14:paraId="107B30E3" w14:textId="77777777" w:rsidR="00FB3D09" w:rsidRPr="004B6DCE" w:rsidRDefault="00FB3D09" w:rsidP="00822842">
            <w:pPr>
              <w:rPr>
                <w:rFonts w:ascii="Times New Roman" w:hAnsi="Times New Roman"/>
                <w:sz w:val="24"/>
              </w:rPr>
            </w:pPr>
            <w:r w:rsidRPr="004B6DCE">
              <w:rPr>
                <w:rFonts w:ascii="Times New Roman" w:hAnsi="Times New Roman"/>
                <w:sz w:val="24"/>
              </w:rPr>
              <w:t>Взимат се предвид и входящите и изходящите потоци в рамките на един и същ клас експозиции, а когато е уместно – в категории или групи длъжници.</w:t>
            </w:r>
          </w:p>
          <w:p w14:paraId="610F295D" w14:textId="77777777" w:rsidR="00FB3D09" w:rsidRPr="004B6DCE" w:rsidRDefault="00FB3D09" w:rsidP="00822842">
            <w:pPr>
              <w:rPr>
                <w:rFonts w:ascii="Times New Roman" w:hAnsi="Times New Roman"/>
                <w:sz w:val="24"/>
              </w:rPr>
            </w:pPr>
            <w:r w:rsidRPr="004B6DCE">
              <w:rPr>
                <w:rFonts w:ascii="Times New Roman" w:hAnsi="Times New Roman"/>
                <w:sz w:val="24"/>
              </w:rPr>
              <w:t>Взимат се предвид експозициите, произтичащи от евентуални входящи и изходящи потоци от и към други образци.</w:t>
            </w:r>
          </w:p>
          <w:p w14:paraId="1DB2B7C5" w14:textId="3BA23E22" w:rsidR="00FB3D09" w:rsidRPr="004B6DCE" w:rsidRDefault="00FB3D09" w:rsidP="00822842"/>
        </w:tc>
      </w:tr>
      <w:tr w:rsidR="00FB3D09" w:rsidRPr="004B6DCE" w14:paraId="29952085" w14:textId="77777777" w:rsidTr="00822842">
        <w:tc>
          <w:tcPr>
            <w:tcW w:w="1188" w:type="dxa"/>
          </w:tcPr>
          <w:p w14:paraId="08FA3F2A"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0090 </w:t>
            </w:r>
          </w:p>
          <w:p w14:paraId="0355DD8B" w14:textId="77777777" w:rsidR="00FB3D09" w:rsidRPr="004B6DCE" w:rsidRDefault="00FB3D09" w:rsidP="00822842">
            <w:r w:rsidRPr="004B6DCE">
              <w:br/>
            </w:r>
          </w:p>
          <w:p w14:paraId="1020C237" w14:textId="77777777" w:rsidR="00FB3D09" w:rsidRPr="004B6DCE" w:rsidRDefault="00FB3D09" w:rsidP="00822842">
            <w:pPr>
              <w:rPr>
                <w:rFonts w:ascii="Times New Roman" w:hAnsi="Times New Roman"/>
                <w:sz w:val="24"/>
              </w:rPr>
            </w:pPr>
          </w:p>
        </w:tc>
        <w:tc>
          <w:tcPr>
            <w:tcW w:w="8843" w:type="dxa"/>
          </w:tcPr>
          <w:p w14:paraId="53C76B9B"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ЕКСПОЗИЦИЯ СЛЕД ЕФЕКТА НА ЗАМЕСТВАНЕ ПОРАДИ РЕДУЦИРАНЕ НА КРЕДИТНИЯ РИСК И ПРЕДИ ПРИЛАГАНЕ НА КОНВЕРСИОННИТЕ КОЕФИЦИЕНТИ</w:t>
            </w:r>
          </w:p>
          <w:p w14:paraId="2477F8EB" w14:textId="77777777" w:rsidR="00FB3D09" w:rsidRPr="004B6DCE" w:rsidRDefault="00FB3D09" w:rsidP="00822842">
            <w:pPr>
              <w:rPr>
                <w:rFonts w:ascii="Times New Roman" w:hAnsi="Times New Roman"/>
                <w:sz w:val="24"/>
              </w:rPr>
            </w:pPr>
            <w:r w:rsidRPr="004B6DCE">
              <w:rPr>
                <w:rFonts w:ascii="Times New Roman" w:hAnsi="Times New Roman"/>
                <w:sz w:val="24"/>
              </w:rPr>
              <w:t>Експозицията, отнесена към съответната категория или група длъжници и клас експозиции, след като са взети предвид изходящите и входящите потоци, дължащи се на техники за редуциране на кредитния риск с ефекти на заместване върху експозицията.</w:t>
            </w:r>
          </w:p>
        </w:tc>
      </w:tr>
      <w:tr w:rsidR="00FB3D09" w:rsidRPr="004B6DCE" w14:paraId="678E16FA" w14:textId="77777777" w:rsidTr="00822842">
        <w:tc>
          <w:tcPr>
            <w:tcW w:w="1188" w:type="dxa"/>
          </w:tcPr>
          <w:p w14:paraId="590D5D4A" w14:textId="77777777" w:rsidR="00FB3D09" w:rsidRPr="004B6DCE" w:rsidRDefault="00FB3D09" w:rsidP="00822842">
            <w:pPr>
              <w:rPr>
                <w:rFonts w:ascii="Times New Roman" w:hAnsi="Times New Roman"/>
                <w:sz w:val="24"/>
              </w:rPr>
            </w:pPr>
            <w:r w:rsidRPr="004B6DCE">
              <w:rPr>
                <w:rFonts w:ascii="Times New Roman" w:hAnsi="Times New Roman"/>
                <w:sz w:val="24"/>
              </w:rPr>
              <w:t>0100, 0120</w:t>
            </w:r>
          </w:p>
        </w:tc>
        <w:tc>
          <w:tcPr>
            <w:tcW w:w="8843" w:type="dxa"/>
          </w:tcPr>
          <w:p w14:paraId="70C0CAF4"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 xml:space="preserve">В т.ч.: задбалансови позиции </w:t>
            </w:r>
          </w:p>
          <w:p w14:paraId="2F36E223" w14:textId="77777777" w:rsidR="00FB3D09" w:rsidRPr="004B6DCE" w:rsidRDefault="00FB3D09" w:rsidP="00822842">
            <w:pPr>
              <w:rPr>
                <w:rFonts w:ascii="Times New Roman" w:hAnsi="Times New Roman"/>
                <w:sz w:val="24"/>
              </w:rPr>
            </w:pPr>
            <w:r w:rsidRPr="004B6DCE">
              <w:rPr>
                <w:rFonts w:ascii="Times New Roman" w:hAnsi="Times New Roman"/>
                <w:sz w:val="24"/>
              </w:rPr>
              <w:t>Вж. указанията за CR-SA.</w:t>
            </w:r>
          </w:p>
        </w:tc>
      </w:tr>
      <w:tr w:rsidR="00FB3D09" w:rsidRPr="004B6DCE" w14:paraId="00A4DCE6" w14:textId="77777777" w:rsidTr="00822842">
        <w:tc>
          <w:tcPr>
            <w:tcW w:w="1188" w:type="dxa"/>
          </w:tcPr>
          <w:p w14:paraId="511472D9" w14:textId="77777777" w:rsidR="00FB3D09" w:rsidRPr="004B6DCE" w:rsidRDefault="00FB3D09" w:rsidP="00822842">
            <w:pPr>
              <w:rPr>
                <w:rFonts w:ascii="Times New Roman" w:hAnsi="Times New Roman"/>
                <w:sz w:val="24"/>
              </w:rPr>
            </w:pPr>
            <w:r w:rsidRPr="004B6DCE">
              <w:rPr>
                <w:rFonts w:ascii="Times New Roman" w:hAnsi="Times New Roman"/>
                <w:sz w:val="24"/>
              </w:rPr>
              <w:t>0101-0107</w:t>
            </w:r>
          </w:p>
        </w:tc>
        <w:tc>
          <w:tcPr>
            <w:tcW w:w="8843" w:type="dxa"/>
          </w:tcPr>
          <w:p w14:paraId="1886DC9B"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РАЗБИВКА НА НАПЪЛНО КОРИГИРАНАТА СТОЙНОСТ НА ЕКСПОЗИЦИЯТА НА ЗАДБАЛАНСОВИ ПОЗИЦИИ ПО КОНВЕРСИОННИ КОЕФИЦИЕНТИ</w:t>
            </w:r>
          </w:p>
          <w:p w14:paraId="08C9DDC2" w14:textId="77777777" w:rsidR="00FB3D09" w:rsidRPr="004B6DCE" w:rsidRDefault="00FB3D09" w:rsidP="00822842">
            <w:pPr>
              <w:pStyle w:val="InstructionsText"/>
            </w:pPr>
            <w:r w:rsidRPr="004B6DCE">
              <w:lastRenderedPageBreak/>
              <w:t>Член 166, параграф 8 съгласно параграфи 8а и 8б и член 151, параграф 8 от Регламент (ЕС) № 575/2013.</w:t>
            </w:r>
          </w:p>
          <w:p w14:paraId="434D1ED6" w14:textId="77777777" w:rsidR="00FB3D09" w:rsidRPr="004B6DCE" w:rsidRDefault="00FB3D09" w:rsidP="00822842">
            <w:pPr>
              <w:rPr>
                <w:rStyle w:val="InstructionsTabelleberschrift"/>
                <w:rFonts w:ascii="Times New Roman" w:hAnsi="Times New Roman"/>
                <w:sz w:val="24"/>
              </w:rPr>
            </w:pPr>
            <w:r w:rsidRPr="004B6DCE">
              <w:rPr>
                <w:rFonts w:ascii="Times New Roman" w:hAnsi="Times New Roman"/>
                <w:sz w:val="24"/>
              </w:rPr>
              <w:t>Докладваните стойности са напълно коригираните стойности на експозицията преди прилагането на конверсионния коефициент.</w:t>
            </w:r>
          </w:p>
        </w:tc>
      </w:tr>
      <w:tr w:rsidR="00FB3D09" w:rsidRPr="004B6DCE" w14:paraId="56ED3146" w14:textId="77777777" w:rsidTr="00822842">
        <w:tc>
          <w:tcPr>
            <w:tcW w:w="1188" w:type="dxa"/>
          </w:tcPr>
          <w:p w14:paraId="4FBB1F46"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0101</w:t>
            </w:r>
          </w:p>
        </w:tc>
        <w:tc>
          <w:tcPr>
            <w:tcW w:w="8843" w:type="dxa"/>
          </w:tcPr>
          <w:p w14:paraId="58AB915A"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МОДЕЛИРАНИ КОНВЕРСИОННИ КОЕФИЦИЕНТИ</w:t>
            </w:r>
          </w:p>
          <w:p w14:paraId="48F41598" w14:textId="77777777" w:rsidR="00FB3D09" w:rsidRPr="004B6DCE" w:rsidRDefault="00FB3D09" w:rsidP="00822842">
            <w:pPr>
              <w:pStyle w:val="InstructionsText"/>
              <w:rPr>
                <w:rStyle w:val="InstructionsTabelleberschrift"/>
                <w:rFonts w:ascii="Times New Roman" w:hAnsi="Times New Roman"/>
                <w:b w:val="0"/>
                <w:sz w:val="24"/>
                <w:u w:val="none"/>
              </w:rPr>
            </w:pPr>
            <w:r w:rsidRPr="004B6DCE">
              <w:t>Член166, параграфи 8б и 8в и член 182 от Регламент (ЕС) № 575/2013.</w:t>
            </w:r>
          </w:p>
        </w:tc>
      </w:tr>
      <w:tr w:rsidR="00FB3D09" w:rsidRPr="004B6DCE" w14:paraId="723ED349" w14:textId="77777777" w:rsidTr="00822842">
        <w:tc>
          <w:tcPr>
            <w:tcW w:w="1188" w:type="dxa"/>
          </w:tcPr>
          <w:p w14:paraId="64882817" w14:textId="77777777" w:rsidR="00FB3D09" w:rsidRPr="004B6DCE" w:rsidRDefault="00FB3D09" w:rsidP="00822842">
            <w:pPr>
              <w:rPr>
                <w:rFonts w:ascii="Times New Roman" w:hAnsi="Times New Roman"/>
                <w:sz w:val="24"/>
              </w:rPr>
            </w:pPr>
            <w:r w:rsidRPr="004B6DCE">
              <w:rPr>
                <w:rFonts w:ascii="Times New Roman" w:hAnsi="Times New Roman"/>
                <w:sz w:val="24"/>
              </w:rPr>
              <w:t>0102-0107</w:t>
            </w:r>
          </w:p>
        </w:tc>
        <w:tc>
          <w:tcPr>
            <w:tcW w:w="8843" w:type="dxa"/>
          </w:tcPr>
          <w:p w14:paraId="5676D624"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СТАНДАРТНИ КОНВЕРСИОННИ КОЕФИЦИЕНТИ</w:t>
            </w:r>
          </w:p>
          <w:p w14:paraId="2802107A" w14:textId="77777777" w:rsidR="00FB3D09" w:rsidRPr="004B6DCE" w:rsidRDefault="00FB3D09" w:rsidP="00822842">
            <w:pPr>
              <w:rPr>
                <w:rStyle w:val="InstructionsTabelleberschrift"/>
                <w:rFonts w:ascii="Times New Roman" w:hAnsi="Times New Roman"/>
                <w:sz w:val="24"/>
              </w:rPr>
            </w:pPr>
            <w:r w:rsidRPr="004B6DCE">
              <w:rPr>
                <w:rFonts w:ascii="Times New Roman" w:hAnsi="Times New Roman"/>
                <w:sz w:val="24"/>
              </w:rPr>
              <w:t>Член 166, параграф 8а от Регламент (ЕС) № 575/2013.</w:t>
            </w:r>
          </w:p>
        </w:tc>
      </w:tr>
      <w:tr w:rsidR="00FB3D09" w:rsidRPr="004B6DCE" w14:paraId="72A515B8" w14:textId="77777777" w:rsidTr="00822842">
        <w:tc>
          <w:tcPr>
            <w:tcW w:w="1188" w:type="dxa"/>
          </w:tcPr>
          <w:p w14:paraId="6F3C95D9" w14:textId="77777777" w:rsidR="00FB3D09" w:rsidRPr="004B6DCE" w:rsidRDefault="00FB3D09" w:rsidP="00822842">
            <w:pPr>
              <w:rPr>
                <w:rFonts w:ascii="Times New Roman" w:hAnsi="Times New Roman"/>
                <w:sz w:val="24"/>
              </w:rPr>
            </w:pPr>
            <w:r w:rsidRPr="004B6DCE">
              <w:rPr>
                <w:rFonts w:ascii="Times New Roman" w:hAnsi="Times New Roman"/>
                <w:sz w:val="24"/>
              </w:rPr>
              <w:t>0110</w:t>
            </w:r>
          </w:p>
        </w:tc>
        <w:tc>
          <w:tcPr>
            <w:tcW w:w="8843" w:type="dxa"/>
          </w:tcPr>
          <w:p w14:paraId="024D8944"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СТОЙНОСТ НА ЕКСПОЗИЦИЯТА</w:t>
            </w:r>
          </w:p>
          <w:p w14:paraId="7397AAAD" w14:textId="77777777" w:rsidR="00FB3D09" w:rsidRPr="004B6DCE" w:rsidRDefault="00FB3D09" w:rsidP="00822842">
            <w:pPr>
              <w:rPr>
                <w:rFonts w:ascii="Times New Roman" w:hAnsi="Times New Roman"/>
                <w:sz w:val="24"/>
              </w:rPr>
            </w:pPr>
            <w:r w:rsidRPr="004B6DCE">
              <w:rPr>
                <w:rFonts w:ascii="Times New Roman" w:hAnsi="Times New Roman"/>
                <w:sz w:val="24"/>
              </w:rPr>
              <w:t>Докладва се стойностите на експозицията, определени в съответствие с член 166 от Регламент (ЕС) № 575/2013 и второто изречение на член 230, параграф 1 от същия регламент.</w:t>
            </w:r>
          </w:p>
          <w:p w14:paraId="1C7B98CD" w14:textId="775FF974" w:rsidR="00FB3D09" w:rsidRPr="004B6DCE" w:rsidRDefault="00FB3D09" w:rsidP="00822842">
            <w:pPr>
              <w:rPr>
                <w:rFonts w:ascii="Times New Roman" w:hAnsi="Times New Roman"/>
                <w:sz w:val="24"/>
              </w:rPr>
            </w:pPr>
            <w:r w:rsidRPr="004B6DCE">
              <w:rPr>
                <w:rFonts w:ascii="Times New Roman" w:hAnsi="Times New Roman"/>
                <w:sz w:val="24"/>
              </w:rPr>
              <w:t>Независимо от избрания от институцията подход, спрямо инструментите, посочени в приложение I, се прилагат кредитните конверсионни коефициенти и проценти в съответствие с член 166, параграфи 8 и 9 от Регламент (ЕС) № 575/2013.</w:t>
            </w:r>
          </w:p>
          <w:p w14:paraId="4CA1B4E2" w14:textId="77777777" w:rsidR="00FB3D09" w:rsidRPr="004B6DCE" w:rsidRDefault="00FB3D09" w:rsidP="00822842">
            <w:pPr>
              <w:rPr>
                <w:rFonts w:ascii="Times New Roman" w:hAnsi="Times New Roman"/>
                <w:sz w:val="24"/>
              </w:rPr>
            </w:pPr>
            <w:r w:rsidRPr="004B6DCE">
              <w:rPr>
                <w:rFonts w:ascii="Times New Roman" w:hAnsi="Times New Roman"/>
                <w:sz w:val="24"/>
              </w:rPr>
              <w:t>Стойностите на експозициите, обект на кредитен риск от контрагента, са същите като докладваните в колона 0130.</w:t>
            </w:r>
          </w:p>
        </w:tc>
      </w:tr>
      <w:tr w:rsidR="00FB3D09" w:rsidRPr="004B6DCE" w14:paraId="7E1EABB6" w14:textId="77777777" w:rsidTr="00822842">
        <w:tc>
          <w:tcPr>
            <w:tcW w:w="1188" w:type="dxa"/>
          </w:tcPr>
          <w:p w14:paraId="423F28F5" w14:textId="77777777" w:rsidR="00FB3D09" w:rsidRPr="004B6DCE" w:rsidRDefault="00FB3D09" w:rsidP="00822842">
            <w:pPr>
              <w:rPr>
                <w:rFonts w:ascii="Times New Roman" w:hAnsi="Times New Roman"/>
                <w:sz w:val="24"/>
              </w:rPr>
            </w:pPr>
            <w:r w:rsidRPr="004B6DCE">
              <w:rPr>
                <w:rFonts w:ascii="Times New Roman" w:hAnsi="Times New Roman"/>
                <w:sz w:val="24"/>
              </w:rPr>
              <w:t>0130</w:t>
            </w:r>
          </w:p>
        </w:tc>
        <w:tc>
          <w:tcPr>
            <w:tcW w:w="8843" w:type="dxa"/>
          </w:tcPr>
          <w:p w14:paraId="0C131540"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 xml:space="preserve">В т.ч.: произтичаща от кредитния риск от контрагента </w:t>
            </w:r>
          </w:p>
          <w:p w14:paraId="5322EE59" w14:textId="77777777" w:rsidR="00FB3D09" w:rsidRPr="004B6DCE" w:rsidRDefault="00FB3D09" w:rsidP="00822842">
            <w:pPr>
              <w:rPr>
                <w:rFonts w:ascii="Times New Roman" w:hAnsi="Times New Roman"/>
                <w:sz w:val="24"/>
              </w:rPr>
            </w:pPr>
            <w:r w:rsidRPr="004B6DCE">
              <w:rPr>
                <w:rFonts w:ascii="Times New Roman" w:hAnsi="Times New Roman"/>
                <w:sz w:val="24"/>
              </w:rPr>
              <w:t>Вж. съответните указания за CR SA в колона 0210.</w:t>
            </w:r>
            <w:r w:rsidRPr="004B6DCE">
              <w:rPr>
                <w:rStyle w:val="InstructionsTabelleText"/>
                <w:rFonts w:ascii="Times New Roman" w:hAnsi="Times New Roman"/>
                <w:sz w:val="24"/>
              </w:rPr>
              <w:t xml:space="preserve"> </w:t>
            </w:r>
          </w:p>
        </w:tc>
      </w:tr>
      <w:tr w:rsidR="00FB3D09" w:rsidRPr="004B6DCE" w14:paraId="5236CDCC" w14:textId="77777777" w:rsidTr="00822842">
        <w:tc>
          <w:tcPr>
            <w:tcW w:w="1188" w:type="dxa"/>
          </w:tcPr>
          <w:p w14:paraId="79AE6E15" w14:textId="77777777" w:rsidR="00FB3D09" w:rsidRPr="004B6DCE" w:rsidRDefault="00FB3D09" w:rsidP="00822842">
            <w:pPr>
              <w:rPr>
                <w:rFonts w:ascii="Times New Roman" w:hAnsi="Times New Roman"/>
                <w:sz w:val="24"/>
              </w:rPr>
            </w:pPr>
            <w:r w:rsidRPr="004B6DCE">
              <w:rPr>
                <w:rFonts w:ascii="Times New Roman" w:hAnsi="Times New Roman"/>
                <w:sz w:val="24"/>
              </w:rPr>
              <w:t>0140</w:t>
            </w:r>
          </w:p>
        </w:tc>
        <w:tc>
          <w:tcPr>
            <w:tcW w:w="8843" w:type="dxa"/>
          </w:tcPr>
          <w:p w14:paraId="33C21D55"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В Т.Ч.: ГОЛЕМИ ПРЕДПРИЯТИЯ ОТ ФИНАНСОВИЯ СЕКТОР И НЕРЕГУЛИРАНИ ФИНАНСОВИ ПРЕДПРИЯТИЯ</w:t>
            </w:r>
          </w:p>
          <w:p w14:paraId="38EC098A"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Разбивката на стойност на експозицията за всички експозиции към предприятия, посочени в член 142, параграф 1, точки 4 и 5 от Регламент (ЕС) № 575/2013, за които се прилага по-високият коефициент на корелация, определен в съответствие с член 153, параграф 2 от същия регламент.</w:t>
            </w:r>
          </w:p>
        </w:tc>
      </w:tr>
      <w:tr w:rsidR="00FB3D09" w:rsidRPr="004B6DCE" w14:paraId="5C3F07BE" w14:textId="77777777" w:rsidTr="00822842">
        <w:trPr>
          <w:trHeight w:val="708"/>
        </w:trPr>
        <w:tc>
          <w:tcPr>
            <w:tcW w:w="1188" w:type="dxa"/>
          </w:tcPr>
          <w:p w14:paraId="1B81DCB5" w14:textId="77777777" w:rsidR="00FB3D09" w:rsidRPr="004B6DCE" w:rsidDel="001D4BE0" w:rsidRDefault="00FB3D09" w:rsidP="00822842">
            <w:pPr>
              <w:rPr>
                <w:rFonts w:ascii="Times New Roman" w:hAnsi="Times New Roman"/>
                <w:sz w:val="24"/>
              </w:rPr>
            </w:pPr>
            <w:r w:rsidRPr="004B6DCE">
              <w:rPr>
                <w:rFonts w:ascii="Times New Roman" w:hAnsi="Times New Roman"/>
                <w:sz w:val="24"/>
              </w:rPr>
              <w:t>0150-0210</w:t>
            </w:r>
          </w:p>
        </w:tc>
        <w:tc>
          <w:tcPr>
            <w:tcW w:w="8843" w:type="dxa"/>
          </w:tcPr>
          <w:p w14:paraId="5FFCDE2C" w14:textId="37F1BD92"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xml:space="preserve">ТЕХНИКИ ЗА РЕДУЦИРАНЕ НА КРЕДИТНИЯ РИСК, ВЗЕТИ ПРЕДВИД В ОЦЕНКИТЕ НА ЗАГУБАТА ПРИ НЕИЗПЪЛНЕНИЕ </w:t>
            </w:r>
          </w:p>
          <w:p w14:paraId="02E436B3" w14:textId="77777777" w:rsidR="00FB3D09" w:rsidRPr="004B6DCE" w:rsidRDefault="00FB3D09" w:rsidP="00822842">
            <w:pPr>
              <w:rPr>
                <w:rFonts w:ascii="Times New Roman" w:hAnsi="Times New Roman"/>
                <w:sz w:val="24"/>
              </w:rPr>
            </w:pPr>
            <w:r w:rsidRPr="004B6DCE">
              <w:rPr>
                <w:rFonts w:ascii="Times New Roman" w:hAnsi="Times New Roman"/>
                <w:sz w:val="24"/>
              </w:rPr>
              <w:t>В тези колони не се включват техниките за редуциране на кредитния риск, които оказват влияние върху оценките на загубата при неизпълнение в резултат на прилагането на ефекта на заместване при тези техники.</w:t>
            </w:r>
          </w:p>
          <w:p w14:paraId="0813160C" w14:textId="77777777" w:rsidR="00FB3D09" w:rsidRPr="004B6DCE" w:rsidRDefault="00FB3D09" w:rsidP="00822842">
            <w:pPr>
              <w:rPr>
                <w:rFonts w:ascii="Times New Roman" w:hAnsi="Times New Roman"/>
                <w:sz w:val="24"/>
              </w:rPr>
            </w:pPr>
            <w:r w:rsidRPr="004B6DCE">
              <w:rPr>
                <w:rFonts w:ascii="Times New Roman" w:hAnsi="Times New Roman"/>
                <w:sz w:val="24"/>
              </w:rPr>
              <w:t>За докладваните стойности е определен таван, равен на стойността на експозицията.</w:t>
            </w:r>
          </w:p>
          <w:p w14:paraId="5F41737F" w14:textId="02BF2E74" w:rsidR="00FB3D09" w:rsidRPr="004B6DCE" w:rsidRDefault="00FB3D09" w:rsidP="00822842">
            <w:pPr>
              <w:rPr>
                <w:rFonts w:ascii="Times New Roman" w:hAnsi="Times New Roman"/>
                <w:sz w:val="24"/>
              </w:rPr>
            </w:pPr>
            <w:r w:rsidRPr="004B6DCE">
              <w:rPr>
                <w:rFonts w:ascii="Times New Roman" w:hAnsi="Times New Roman"/>
                <w:sz w:val="24"/>
              </w:rPr>
              <w:t>Когато не се използват собствени оценки на LGD, се взимат предвид член 230, параграфи 1, 2 и 4 и член 231 от Регламент (ЕС) № 575/2013.</w:t>
            </w:r>
          </w:p>
          <w:p w14:paraId="6CF8B541"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Когато се използват собствени оценки на LGD: </w:t>
            </w:r>
          </w:p>
          <w:p w14:paraId="1C4E5F46" w14:textId="77777777" w:rsidR="00FB3D09" w:rsidRPr="004B6DCE" w:rsidRDefault="00FB3D09" w:rsidP="00822842">
            <w:pPr>
              <w:rPr>
                <w:rFonts w:ascii="Times New Roman" w:hAnsi="Times New Roman"/>
                <w:sz w:val="24"/>
              </w:rPr>
            </w:pPr>
            <w:r w:rsidRPr="004B6DCE">
              <w:rPr>
                <w:rFonts w:ascii="Times New Roman" w:hAnsi="Times New Roman"/>
                <w:sz w:val="24"/>
              </w:rPr>
              <w:t>- По отношение на кредитната защита с гаранции се взема предвид член 161, параграф 3 от Регламент (ЕС) № 575/2013 за експозициите към централни правителства и централни банки, институции и предприятия. За експозиции на дребно се взема предвид член 164, параграф 2 от Регламент (ЕС) № 575/2013.</w:t>
            </w:r>
          </w:p>
          <w:p w14:paraId="05A9C033"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lastRenderedPageBreak/>
              <w:t>- По отношение на обезпечената кредитна защита обезпечението се взема предвид в оценките на LGD в съответствие с член 181, параграф 1, букви д) и е) от Регламент (ЕС) № 575/2013.</w:t>
            </w:r>
          </w:p>
        </w:tc>
      </w:tr>
      <w:tr w:rsidR="00FB3D09" w:rsidRPr="004B6DCE" w14:paraId="4CC8BF71" w14:textId="77777777" w:rsidTr="00822842">
        <w:trPr>
          <w:trHeight w:val="957"/>
        </w:trPr>
        <w:tc>
          <w:tcPr>
            <w:tcW w:w="1188" w:type="dxa"/>
          </w:tcPr>
          <w:p w14:paraId="7918EC18"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0150</w:t>
            </w:r>
          </w:p>
        </w:tc>
        <w:tc>
          <w:tcPr>
            <w:tcW w:w="8843" w:type="dxa"/>
          </w:tcPr>
          <w:p w14:paraId="4C266062"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xml:space="preserve">ГАРАНЦИИ </w:t>
            </w:r>
          </w:p>
          <w:p w14:paraId="774C7F9E" w14:textId="77777777" w:rsidR="00FB3D09" w:rsidRPr="004B6DCE" w:rsidRDefault="00FB3D09" w:rsidP="00822842">
            <w:pPr>
              <w:jc w:val="left"/>
              <w:rPr>
                <w:rFonts w:ascii="Times New Roman" w:hAnsi="Times New Roman"/>
                <w:b/>
                <w:sz w:val="24"/>
                <w:u w:val="single"/>
              </w:rPr>
            </w:pPr>
            <w:r w:rsidRPr="004B6DCE">
              <w:rPr>
                <w:rFonts w:ascii="Times New Roman" w:hAnsi="Times New Roman"/>
                <w:sz w:val="24"/>
              </w:rPr>
              <w:t>Вж. указанията за колона 0040.</w:t>
            </w:r>
          </w:p>
        </w:tc>
      </w:tr>
      <w:tr w:rsidR="00FB3D09" w:rsidRPr="004B6DCE" w14:paraId="052C8B55" w14:textId="77777777" w:rsidTr="00822842">
        <w:tc>
          <w:tcPr>
            <w:tcW w:w="1188" w:type="dxa"/>
          </w:tcPr>
          <w:p w14:paraId="4C653362" w14:textId="77777777" w:rsidR="00FB3D09" w:rsidRPr="004B6DCE" w:rsidRDefault="00FB3D09" w:rsidP="00822842">
            <w:pPr>
              <w:rPr>
                <w:rFonts w:ascii="Times New Roman" w:hAnsi="Times New Roman"/>
                <w:sz w:val="24"/>
              </w:rPr>
            </w:pPr>
            <w:r w:rsidRPr="004B6DCE">
              <w:rPr>
                <w:rFonts w:ascii="Times New Roman" w:hAnsi="Times New Roman"/>
                <w:sz w:val="24"/>
              </w:rPr>
              <w:t>0160</w:t>
            </w:r>
          </w:p>
        </w:tc>
        <w:tc>
          <w:tcPr>
            <w:tcW w:w="8843" w:type="dxa"/>
          </w:tcPr>
          <w:p w14:paraId="61710E91"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xml:space="preserve">КРЕДИТНИ ДЕРИВАТИ </w:t>
            </w:r>
          </w:p>
          <w:p w14:paraId="4948B3F5" w14:textId="77777777" w:rsidR="00FB3D09" w:rsidRPr="004B6DCE" w:rsidRDefault="00FB3D09" w:rsidP="00822842">
            <w:pPr>
              <w:rPr>
                <w:rFonts w:ascii="Times New Roman" w:hAnsi="Times New Roman"/>
                <w:sz w:val="24"/>
              </w:rPr>
            </w:pPr>
            <w:r w:rsidRPr="004B6DCE">
              <w:rPr>
                <w:rFonts w:ascii="Times New Roman" w:hAnsi="Times New Roman"/>
                <w:sz w:val="24"/>
              </w:rPr>
              <w:t>Вж. указанията за колона 0050.</w:t>
            </w:r>
          </w:p>
        </w:tc>
      </w:tr>
      <w:tr w:rsidR="00FB3D09" w:rsidRPr="004B6DCE" w14:paraId="66ECA0F4" w14:textId="77777777" w:rsidTr="00822842">
        <w:trPr>
          <w:trHeight w:val="300"/>
        </w:trPr>
        <w:tc>
          <w:tcPr>
            <w:tcW w:w="1188" w:type="dxa"/>
          </w:tcPr>
          <w:p w14:paraId="18EA00BE" w14:textId="77777777" w:rsidR="00FB3D09" w:rsidRPr="004B6DCE" w:rsidRDefault="00FB3D09" w:rsidP="00822842">
            <w:pPr>
              <w:rPr>
                <w:rFonts w:ascii="Times New Roman" w:hAnsi="Times New Roman"/>
                <w:sz w:val="24"/>
              </w:rPr>
            </w:pPr>
            <w:r w:rsidRPr="004B6DCE">
              <w:rPr>
                <w:rFonts w:ascii="Times New Roman" w:hAnsi="Times New Roman"/>
                <w:sz w:val="24"/>
              </w:rPr>
              <w:t>0170-0210</w:t>
            </w:r>
          </w:p>
        </w:tc>
        <w:tc>
          <w:tcPr>
            <w:tcW w:w="8843" w:type="dxa"/>
          </w:tcPr>
          <w:p w14:paraId="642B29BA" w14:textId="77777777" w:rsidR="00FB3D09" w:rsidRPr="004B6DCE" w:rsidRDefault="00FB3D09" w:rsidP="00822842">
            <w:pPr>
              <w:rPr>
                <w:rFonts w:ascii="Times New Roman" w:hAnsi="Times New Roman"/>
                <w:b/>
                <w:bCs/>
                <w:sz w:val="24"/>
                <w:u w:val="single"/>
              </w:rPr>
            </w:pPr>
            <w:r w:rsidRPr="004B6DCE">
              <w:rPr>
                <w:rFonts w:ascii="Times New Roman" w:hAnsi="Times New Roman"/>
                <w:b/>
                <w:sz w:val="24"/>
                <w:u w:val="single"/>
              </w:rPr>
              <w:t>ОБЕЗПЕЧЕНА КРЕДИТНА ЗАЩИТА</w:t>
            </w:r>
          </w:p>
        </w:tc>
      </w:tr>
      <w:tr w:rsidR="00FB3D09" w:rsidRPr="004B6DCE" w14:paraId="4AF255C0" w14:textId="77777777" w:rsidTr="00822842">
        <w:tc>
          <w:tcPr>
            <w:tcW w:w="1188" w:type="dxa"/>
          </w:tcPr>
          <w:p w14:paraId="1EE7AF6C" w14:textId="77777777" w:rsidR="00FB3D09" w:rsidRPr="004B6DCE" w:rsidRDefault="00FB3D09" w:rsidP="00822842">
            <w:pPr>
              <w:rPr>
                <w:rFonts w:ascii="Times New Roman" w:hAnsi="Times New Roman"/>
                <w:sz w:val="24"/>
              </w:rPr>
            </w:pPr>
            <w:r w:rsidRPr="004B6DCE">
              <w:rPr>
                <w:rFonts w:ascii="Times New Roman" w:hAnsi="Times New Roman"/>
                <w:sz w:val="24"/>
              </w:rPr>
              <w:t>0170-0173</w:t>
            </w:r>
          </w:p>
        </w:tc>
        <w:tc>
          <w:tcPr>
            <w:tcW w:w="8843" w:type="dxa"/>
          </w:tcPr>
          <w:p w14:paraId="39418299"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xml:space="preserve">ИЗПОЛЗВАТ СЕ СОБСТВЕНИ ОЦЕНКИ ЗА LGD: ДРУГА ОБЕЗПЕЧЕНА КРЕДИТНА ЗАЩИТА </w:t>
            </w:r>
          </w:p>
          <w:p w14:paraId="213C028C"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Член 181, букви д) и е) от Регламент (ЕС) № 575/2013</w:t>
            </w:r>
          </w:p>
          <w:p w14:paraId="163A7BF8"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Съответната стойност, която се използва във вътрешния модел на институцията.</w:t>
            </w:r>
          </w:p>
          <w:p w14:paraId="5CB29B07"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Онези средства за редуциране на кредитния риск, които съответстват на критериите в член 212 на Регламент (ЕС) № 575/2013. </w:t>
            </w:r>
          </w:p>
        </w:tc>
      </w:tr>
      <w:tr w:rsidR="00FB3D09" w:rsidRPr="004B6DCE" w14:paraId="75F84050" w14:textId="77777777" w:rsidTr="00822842">
        <w:tc>
          <w:tcPr>
            <w:tcW w:w="1188" w:type="dxa"/>
          </w:tcPr>
          <w:p w14:paraId="4DD08A67" w14:textId="77777777" w:rsidR="00FB3D09" w:rsidRPr="004B6DCE" w:rsidRDefault="00FB3D09" w:rsidP="00822842">
            <w:pPr>
              <w:rPr>
                <w:rFonts w:ascii="Times New Roman" w:hAnsi="Times New Roman"/>
                <w:sz w:val="24"/>
              </w:rPr>
            </w:pPr>
            <w:r w:rsidRPr="004B6DCE">
              <w:rPr>
                <w:rFonts w:ascii="Times New Roman" w:hAnsi="Times New Roman"/>
                <w:sz w:val="24"/>
              </w:rPr>
              <w:t>0171</w:t>
            </w:r>
          </w:p>
        </w:tc>
        <w:tc>
          <w:tcPr>
            <w:tcW w:w="8843" w:type="dxa"/>
          </w:tcPr>
          <w:p w14:paraId="545A8196"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ПАРИЧНИ ВЛОГОВЕ</w:t>
            </w:r>
          </w:p>
          <w:p w14:paraId="2F2A2E1C"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Член 200, буква а) от Регламент (ЕС) № 575/2013 </w:t>
            </w:r>
          </w:p>
          <w:p w14:paraId="0037C11E"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Парични влогове и приравнени на тях парични инструменти, които институция трета страна не държи на доверително управление, и заложени в полза на кредитиращата институция. Стойността на докладваното обезпечение се ограничава до стойността на дадената отделна експозиция.</w:t>
            </w:r>
          </w:p>
        </w:tc>
      </w:tr>
      <w:tr w:rsidR="00FB3D09" w:rsidRPr="004B6DCE" w14:paraId="6605DFE4" w14:textId="77777777" w:rsidTr="00822842">
        <w:tc>
          <w:tcPr>
            <w:tcW w:w="1188" w:type="dxa"/>
          </w:tcPr>
          <w:p w14:paraId="4FC8218B" w14:textId="77777777" w:rsidR="00FB3D09" w:rsidRPr="004B6DCE" w:rsidRDefault="00FB3D09" w:rsidP="00822842">
            <w:pPr>
              <w:rPr>
                <w:rFonts w:ascii="Times New Roman" w:hAnsi="Times New Roman"/>
                <w:sz w:val="24"/>
              </w:rPr>
            </w:pPr>
            <w:r w:rsidRPr="004B6DCE">
              <w:rPr>
                <w:rFonts w:ascii="Times New Roman" w:hAnsi="Times New Roman"/>
                <w:sz w:val="24"/>
              </w:rPr>
              <w:t>0172</w:t>
            </w:r>
          </w:p>
        </w:tc>
        <w:tc>
          <w:tcPr>
            <w:tcW w:w="8843" w:type="dxa"/>
          </w:tcPr>
          <w:p w14:paraId="4BBBA9B0"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ЖИВОТОЗАСТРАХОВАТЕЛНИ ПОЛИЦИ</w:t>
            </w:r>
          </w:p>
          <w:p w14:paraId="796996C2"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Член 200, буква б) от Регламент (ЕС) № 575/2013 </w:t>
            </w:r>
          </w:p>
          <w:p w14:paraId="62C977CD"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Стойността на докладваното обезпечение се ограничава до стойността на дадената отделна експозиция.</w:t>
            </w:r>
          </w:p>
        </w:tc>
      </w:tr>
      <w:tr w:rsidR="00FB3D09" w:rsidRPr="004B6DCE" w14:paraId="12F298DE" w14:textId="77777777" w:rsidTr="00822842">
        <w:tc>
          <w:tcPr>
            <w:tcW w:w="1188" w:type="dxa"/>
          </w:tcPr>
          <w:p w14:paraId="0A6B27AA" w14:textId="77777777" w:rsidR="00FB3D09" w:rsidRPr="004B6DCE" w:rsidRDefault="00FB3D09" w:rsidP="00822842">
            <w:pPr>
              <w:rPr>
                <w:rFonts w:ascii="Times New Roman" w:hAnsi="Times New Roman"/>
                <w:sz w:val="24"/>
              </w:rPr>
            </w:pPr>
            <w:r w:rsidRPr="004B6DCE">
              <w:rPr>
                <w:rFonts w:ascii="Times New Roman" w:hAnsi="Times New Roman"/>
                <w:sz w:val="24"/>
              </w:rPr>
              <w:t>0173</w:t>
            </w:r>
          </w:p>
        </w:tc>
        <w:tc>
          <w:tcPr>
            <w:tcW w:w="8843" w:type="dxa"/>
          </w:tcPr>
          <w:p w14:paraId="4BDD6592"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ИНСТРУМЕНТИ, ДЪРЖАНИ ОТ ТРЕТА СТРАНА</w:t>
            </w:r>
          </w:p>
          <w:p w14:paraId="078E7074"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Член 200, буква в) от Регламент (ЕС) № 575/2013 </w:t>
            </w:r>
          </w:p>
          <w:p w14:paraId="7E7CC085"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Тук спадат емитирани от институция трета страна инструменти, които при поискване ще бъдат обратно изкупени от тази институция. Стойността на докладваното обезпечение се ограничава до стойността на дадената отделна експозиция. В тази колона не се включват експозициите по инструменти, държани от трета страна, когато в съответствие с член 232, параграф 4 от Регламент (ЕС) № 575/2013 институциите третират изкупените обратно при поискване инструменти, които са допустими по член 200, буква в) от същия регламент, като гаранция от емитиращата институция.</w:t>
            </w:r>
          </w:p>
        </w:tc>
      </w:tr>
      <w:tr w:rsidR="00FB3D09" w:rsidRPr="004B6DCE" w14:paraId="7F635CD0" w14:textId="77777777" w:rsidTr="00822842">
        <w:tc>
          <w:tcPr>
            <w:tcW w:w="1188" w:type="dxa"/>
          </w:tcPr>
          <w:p w14:paraId="7FDF3B82" w14:textId="77777777" w:rsidR="00FB3D09" w:rsidRPr="004B6DCE" w:rsidRDefault="00FB3D09" w:rsidP="00822842">
            <w:pPr>
              <w:rPr>
                <w:rFonts w:ascii="Times New Roman" w:hAnsi="Times New Roman"/>
                <w:sz w:val="24"/>
              </w:rPr>
            </w:pPr>
            <w:r w:rsidRPr="004B6DCE">
              <w:rPr>
                <w:rFonts w:ascii="Times New Roman" w:hAnsi="Times New Roman"/>
                <w:sz w:val="24"/>
              </w:rPr>
              <w:t>0180</w:t>
            </w:r>
          </w:p>
        </w:tc>
        <w:tc>
          <w:tcPr>
            <w:tcW w:w="8843" w:type="dxa"/>
          </w:tcPr>
          <w:p w14:paraId="31FAF9A4"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ДОПУСТИМО ФИНАНСОВО ОБЕЗПЕЧЕНИЕ</w:t>
            </w:r>
          </w:p>
          <w:p w14:paraId="0447D589"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За операциите в търговския портфейл се включват финансовите инструменти и стоки, допустими за експозиции в търговския портфейл в съответствие с член 299, параграф 2, букви в)—е) от Регламент (ЕС) № 575/2013. Обвързаните със заеми дългови ценни книжа и балансовото нетиране в съответствие с трета част, дял II, глава 4, раздел 4 от Регламент (ЕС) № 575/2013 се третират като парично обезпечение.</w:t>
            </w:r>
          </w:p>
          <w:p w14:paraId="52D78AC9" w14:textId="77777777" w:rsidR="00FB3D09" w:rsidRPr="004B6DCE" w:rsidRDefault="00FB3D09" w:rsidP="00822842">
            <w:pPr>
              <w:rPr>
                <w:rFonts w:ascii="Times New Roman" w:hAnsi="Times New Roman"/>
                <w:sz w:val="24"/>
              </w:rPr>
            </w:pPr>
            <w:r w:rsidRPr="004B6DCE">
              <w:rPr>
                <w:rFonts w:ascii="Times New Roman" w:hAnsi="Times New Roman"/>
                <w:sz w:val="24"/>
              </w:rPr>
              <w:t>Когато не се използват собствени оценки на LGD, за приемливото финансово обезпечение в съответствие с член 197 от Регламент (ЕС) № 575/2013 се докладва коригираната стойност (Cvam) по член 223, параграф 2 от същия регламент.</w:t>
            </w:r>
          </w:p>
          <w:p w14:paraId="31F42CB1"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Когато се използват собствени оценки на LGD, финансовото обезпечение се взема предвид в оценките на LGD в съответствие с член 181, параграф 1, букви д) и е) от Регламент (ЕС) № 575/2013. Докладваната стойност е прогнозната пазарна стойност на обезпечението.</w:t>
            </w:r>
          </w:p>
        </w:tc>
      </w:tr>
      <w:tr w:rsidR="00FB3D09" w:rsidRPr="004B6DCE" w14:paraId="175F5CB2" w14:textId="77777777" w:rsidTr="00822842">
        <w:tc>
          <w:tcPr>
            <w:tcW w:w="1188" w:type="dxa"/>
          </w:tcPr>
          <w:p w14:paraId="21EC8197" w14:textId="77777777" w:rsidR="00FB3D09" w:rsidRPr="004B6DCE" w:rsidDel="001D4BE0" w:rsidRDefault="00FB3D09" w:rsidP="00822842">
            <w:pPr>
              <w:rPr>
                <w:rFonts w:ascii="Times New Roman" w:hAnsi="Times New Roman"/>
                <w:sz w:val="24"/>
              </w:rPr>
            </w:pPr>
            <w:r w:rsidRPr="004B6DCE">
              <w:rPr>
                <w:rFonts w:ascii="Times New Roman" w:hAnsi="Times New Roman"/>
                <w:sz w:val="24"/>
              </w:rPr>
              <w:lastRenderedPageBreak/>
              <w:t>0190-0210</w:t>
            </w:r>
          </w:p>
        </w:tc>
        <w:tc>
          <w:tcPr>
            <w:tcW w:w="8843" w:type="dxa"/>
          </w:tcPr>
          <w:p w14:paraId="0934323C"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ДРУГИ ДОПУСТИМИ ОБЕЗПЕЧЕНИЯ</w:t>
            </w:r>
          </w:p>
          <w:p w14:paraId="3277DA00" w14:textId="77777777" w:rsidR="00FB3D09" w:rsidRPr="004B6DCE" w:rsidRDefault="00FB3D09" w:rsidP="00822842">
            <w:pPr>
              <w:rPr>
                <w:rFonts w:ascii="Times New Roman" w:hAnsi="Times New Roman"/>
                <w:sz w:val="24"/>
              </w:rPr>
            </w:pPr>
            <w:r w:rsidRPr="004B6DCE">
              <w:rPr>
                <w:rFonts w:ascii="Times New Roman" w:hAnsi="Times New Roman"/>
                <w:sz w:val="24"/>
              </w:rPr>
              <w:t>Когато не се използват собствени оценки на LGD, стойностите се определят съгласно член 199, параграфи 1—8 и член 229 от Регламент (ЕС) № 575/2013.</w:t>
            </w:r>
          </w:p>
          <w:p w14:paraId="3AF3004D"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Когато се използват собствени оценки на LGD, останалите обезпечения се вземат предвид в оценките на LGD в съответствие с член 181, параграф 1, букви д) и е) от Регламент (ЕС) № 575/2013.</w:t>
            </w:r>
          </w:p>
        </w:tc>
      </w:tr>
      <w:tr w:rsidR="00FB3D09" w:rsidRPr="004B6DCE" w14:paraId="57654874" w14:textId="77777777" w:rsidTr="00822842">
        <w:tc>
          <w:tcPr>
            <w:tcW w:w="1188" w:type="dxa"/>
          </w:tcPr>
          <w:p w14:paraId="4073E085" w14:textId="77777777" w:rsidR="00FB3D09" w:rsidRPr="004B6DCE" w:rsidRDefault="00FB3D09" w:rsidP="00822842">
            <w:pPr>
              <w:spacing w:line="240" w:lineRule="exact"/>
              <w:rPr>
                <w:rFonts w:ascii="Times New Roman" w:hAnsi="Times New Roman"/>
                <w:sz w:val="24"/>
              </w:rPr>
            </w:pPr>
            <w:r w:rsidRPr="004B6DCE">
              <w:rPr>
                <w:rFonts w:ascii="Times New Roman" w:hAnsi="Times New Roman"/>
                <w:sz w:val="24"/>
              </w:rPr>
              <w:t>0190</w:t>
            </w:r>
          </w:p>
        </w:tc>
        <w:tc>
          <w:tcPr>
            <w:tcW w:w="8843" w:type="dxa"/>
          </w:tcPr>
          <w:p w14:paraId="38792F93" w14:textId="77777777" w:rsidR="00FB3D09" w:rsidRPr="004B6DCE" w:rsidRDefault="00FB3D09" w:rsidP="00822842">
            <w:pPr>
              <w:spacing w:line="240" w:lineRule="exact"/>
              <w:rPr>
                <w:rFonts w:ascii="Times New Roman" w:hAnsi="Times New Roman"/>
                <w:sz w:val="24"/>
              </w:rPr>
            </w:pPr>
            <w:r w:rsidRPr="004B6DCE">
              <w:rPr>
                <w:rFonts w:ascii="Times New Roman" w:hAnsi="Times New Roman"/>
                <w:b/>
                <w:sz w:val="24"/>
                <w:u w:val="single"/>
              </w:rPr>
              <w:t>НЕДВИЖИМИ ИМОТИ</w:t>
            </w:r>
          </w:p>
          <w:p w14:paraId="1C22EB67" w14:textId="7B65D474" w:rsidR="00FB3D09" w:rsidRPr="004B6DCE" w:rsidRDefault="00FB3D09" w:rsidP="00822842">
            <w:pPr>
              <w:spacing w:line="240" w:lineRule="exact"/>
              <w:rPr>
                <w:rFonts w:ascii="Times New Roman" w:hAnsi="Times New Roman"/>
                <w:sz w:val="24"/>
              </w:rPr>
            </w:pPr>
            <w:r w:rsidRPr="004B6DCE">
              <w:rPr>
                <w:rFonts w:ascii="Times New Roman" w:hAnsi="Times New Roman"/>
                <w:sz w:val="24"/>
              </w:rPr>
              <w:t>Когато не се използват собствени оценки на LGD, стойностите се определят съгласно член 199, параграфи 2 — 4а от Регламент (ЕС) № 575/2013 и се докладват в тази колона. Включва се и лизингът на недвижими имоти (вж. член 199, параграф 7 от Регламент (ЕС) № 575/2013). Вж. също така член 229 от Регламент (ЕС) № 575/2013.</w:t>
            </w:r>
          </w:p>
          <w:p w14:paraId="02AD8F76" w14:textId="77777777" w:rsidR="00FB3D09" w:rsidRPr="004B6DCE" w:rsidRDefault="00FB3D09" w:rsidP="00822842">
            <w:pPr>
              <w:spacing w:line="240" w:lineRule="exact"/>
              <w:rPr>
                <w:rFonts w:ascii="Times New Roman" w:hAnsi="Times New Roman"/>
                <w:sz w:val="24"/>
              </w:rPr>
            </w:pPr>
            <w:r w:rsidRPr="004B6DCE">
              <w:rPr>
                <w:rFonts w:ascii="Times New Roman" w:hAnsi="Times New Roman"/>
                <w:sz w:val="24"/>
              </w:rPr>
              <w:t>Когато се използват собствени оценки на LGD, докладваната стойност е прогнозната пазарна стойност.</w:t>
            </w:r>
          </w:p>
        </w:tc>
      </w:tr>
      <w:tr w:rsidR="00FB3D09" w:rsidRPr="004B6DCE" w14:paraId="5A77D1F7" w14:textId="77777777" w:rsidTr="00822842">
        <w:tc>
          <w:tcPr>
            <w:tcW w:w="1188" w:type="dxa"/>
          </w:tcPr>
          <w:p w14:paraId="639978E3" w14:textId="77777777" w:rsidR="00FB3D09" w:rsidRPr="004B6DCE" w:rsidRDefault="00FB3D09" w:rsidP="00822842">
            <w:pPr>
              <w:rPr>
                <w:rFonts w:ascii="Times New Roman" w:hAnsi="Times New Roman"/>
                <w:sz w:val="24"/>
              </w:rPr>
            </w:pPr>
            <w:r w:rsidRPr="004B6DCE">
              <w:rPr>
                <w:rFonts w:ascii="Times New Roman" w:hAnsi="Times New Roman"/>
                <w:sz w:val="24"/>
              </w:rPr>
              <w:t>0200</w:t>
            </w:r>
          </w:p>
        </w:tc>
        <w:tc>
          <w:tcPr>
            <w:tcW w:w="8843" w:type="dxa"/>
          </w:tcPr>
          <w:p w14:paraId="11BF78C8"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ДРУГИ ОБЕЗПЕЧЕНИЯ С ФИЗИЧЕСКИ АКТИВИ</w:t>
            </w:r>
          </w:p>
          <w:p w14:paraId="79893BBD"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Когато не се използват собствени оценки на LGD, стойностите се определят съгласно член 199, параграфи 6 и 8 от Регламент (ЕС) № 575/2013 и се докладват в тази колона. Включва се и лизингът на имущество, различно от недвижими имоти (вж. член 199, параграф 7 от Регламент (ЕС) № 575/2013). Вж. също член 229, параграф 3 от Регламент (ЕО) № 575/2013. </w:t>
            </w:r>
          </w:p>
          <w:p w14:paraId="20C5AC83"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Когато се използват собствени оценки на LGD, докладваната стойност е прогнозната пазарна стойност на обезпечението.</w:t>
            </w:r>
          </w:p>
        </w:tc>
      </w:tr>
      <w:tr w:rsidR="00FB3D09" w:rsidRPr="004B6DCE" w14:paraId="6B2A20B1" w14:textId="77777777" w:rsidTr="00822842">
        <w:tc>
          <w:tcPr>
            <w:tcW w:w="1188" w:type="dxa"/>
          </w:tcPr>
          <w:p w14:paraId="41BEC94C" w14:textId="77777777" w:rsidR="00FB3D09" w:rsidRPr="004B6DCE" w:rsidRDefault="00FB3D09" w:rsidP="00822842">
            <w:pPr>
              <w:rPr>
                <w:rFonts w:ascii="Times New Roman" w:hAnsi="Times New Roman"/>
                <w:sz w:val="24"/>
              </w:rPr>
            </w:pPr>
            <w:r w:rsidRPr="004B6DCE">
              <w:rPr>
                <w:rFonts w:ascii="Times New Roman" w:hAnsi="Times New Roman"/>
                <w:sz w:val="24"/>
              </w:rPr>
              <w:t>0210</w:t>
            </w:r>
          </w:p>
        </w:tc>
        <w:tc>
          <w:tcPr>
            <w:tcW w:w="8843" w:type="dxa"/>
          </w:tcPr>
          <w:p w14:paraId="4F3D36E9"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ВЗЕМАНИЯ</w:t>
            </w:r>
          </w:p>
          <w:p w14:paraId="7A705B5D" w14:textId="77777777" w:rsidR="00FB3D09" w:rsidRPr="004B6DCE" w:rsidRDefault="00FB3D09" w:rsidP="00822842">
            <w:pPr>
              <w:rPr>
                <w:rFonts w:ascii="Times New Roman" w:hAnsi="Times New Roman"/>
                <w:sz w:val="24"/>
              </w:rPr>
            </w:pPr>
            <w:r w:rsidRPr="004B6DCE">
              <w:rPr>
                <w:rFonts w:ascii="Times New Roman" w:hAnsi="Times New Roman"/>
                <w:sz w:val="24"/>
              </w:rPr>
              <w:t>Когато не се използват собствени оценки на LGD, стойностите се определят съгласно член 199, параграф 5 и член 229, параграф 2 от Регламент (ЕС) № 575/2013 и се докладват в тази колона.</w:t>
            </w:r>
          </w:p>
          <w:p w14:paraId="436DED01"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Когато се използват собствени оценки на LGD, докладваната стойност е прогнозната пазарна стойност на обезпечението.</w:t>
            </w:r>
          </w:p>
        </w:tc>
      </w:tr>
      <w:tr w:rsidR="00FB3D09" w:rsidRPr="004B6DCE" w14:paraId="60E8AC07" w14:textId="77777777" w:rsidTr="00822842">
        <w:tc>
          <w:tcPr>
            <w:tcW w:w="1188" w:type="dxa"/>
          </w:tcPr>
          <w:p w14:paraId="5D57504A"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0230</w:t>
            </w:r>
          </w:p>
        </w:tc>
        <w:tc>
          <w:tcPr>
            <w:tcW w:w="8843" w:type="dxa"/>
          </w:tcPr>
          <w:p w14:paraId="79AFFD32"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СРЕДНОПРЕТЕГЛЕНА ПО ЕКСПОЗИЦИИ ЗАГУБА ПРИ НЕИЗПЪЛНЕНИЕ (LGD) (%)</w:t>
            </w:r>
          </w:p>
          <w:p w14:paraId="6F9170F4" w14:textId="5D916447" w:rsidR="00FB3D09" w:rsidRPr="004B6DCE" w:rsidRDefault="00FB3D09" w:rsidP="00822842">
            <w:pPr>
              <w:rPr>
                <w:rFonts w:ascii="Times New Roman" w:hAnsi="Times New Roman"/>
                <w:sz w:val="24"/>
              </w:rPr>
            </w:pPr>
            <w:r w:rsidRPr="004B6DCE">
              <w:rPr>
                <w:rFonts w:ascii="Times New Roman" w:hAnsi="Times New Roman"/>
                <w:sz w:val="24"/>
              </w:rPr>
              <w:t xml:space="preserve">Взима се предвид цялото въздействие на техниките за редуциране на кредитния риск върху стойностите на LGD, посочени в трета част, дял II, глави 3 и 4 от Регламент (ЕС) № 575/2013. </w:t>
            </w:r>
          </w:p>
          <w:p w14:paraId="39A74258" w14:textId="77777777" w:rsidR="00FB3D09" w:rsidRPr="004B6DCE" w:rsidRDefault="00FB3D09" w:rsidP="00822842">
            <w:pPr>
              <w:rPr>
                <w:rFonts w:ascii="Times New Roman" w:hAnsi="Times New Roman"/>
                <w:sz w:val="24"/>
              </w:rPr>
            </w:pPr>
            <w:r w:rsidRPr="004B6DCE">
              <w:rPr>
                <w:rFonts w:ascii="Times New Roman" w:hAnsi="Times New Roman"/>
                <w:sz w:val="24"/>
              </w:rPr>
              <w:t>За експозиции в неизпълнение се взима предвид член 181, параграф 1, буква з) от Регламент (ЕС) № 575/2013.</w:t>
            </w:r>
          </w:p>
          <w:p w14:paraId="60A8EDA1" w14:textId="77777777" w:rsidR="00FB3D09" w:rsidRPr="004B6DCE" w:rsidRDefault="00FB3D09" w:rsidP="00822842">
            <w:pPr>
              <w:rPr>
                <w:rFonts w:ascii="Times New Roman" w:hAnsi="Times New Roman"/>
                <w:sz w:val="24"/>
              </w:rPr>
            </w:pPr>
            <w:r w:rsidRPr="004B6DCE">
              <w:rPr>
                <w:rFonts w:ascii="Times New Roman" w:hAnsi="Times New Roman"/>
                <w:sz w:val="24"/>
              </w:rPr>
              <w:t>За изчисляването на среднопретеглените по експозиции стойности се използва стойността на експозицията, посочена в колона 0110.</w:t>
            </w:r>
          </w:p>
          <w:p w14:paraId="4BB11427" w14:textId="77777777" w:rsidR="00FB3D09" w:rsidRPr="004B6DCE" w:rsidRDefault="00FB3D09" w:rsidP="00822842">
            <w:pPr>
              <w:rPr>
                <w:rFonts w:ascii="Times New Roman" w:hAnsi="Times New Roman"/>
                <w:sz w:val="24"/>
              </w:rPr>
            </w:pPr>
            <w:r w:rsidRPr="004B6DCE">
              <w:rPr>
                <w:rFonts w:ascii="Times New Roman" w:hAnsi="Times New Roman"/>
                <w:sz w:val="24"/>
              </w:rPr>
              <w:t>Вземат се предвид всички ефекти (така че в докладването се включват ефектите от минималната стойност, приложима за обезпечените с недвижим имот експозиции в съответствие с член 164, параграф 4 от Регламент (ЕС) № 575/2013).</w:t>
            </w:r>
          </w:p>
          <w:p w14:paraId="635EEDC3" w14:textId="2DC0DF92" w:rsidR="00FB3D09" w:rsidRPr="004B6DCE" w:rsidRDefault="00FB3D09" w:rsidP="00822842">
            <w:pPr>
              <w:rPr>
                <w:rFonts w:ascii="Times New Roman" w:hAnsi="Times New Roman"/>
                <w:sz w:val="24"/>
              </w:rPr>
            </w:pPr>
            <w:r w:rsidRPr="004B6DCE">
              <w:rPr>
                <w:rFonts w:ascii="Times New Roman" w:hAnsi="Times New Roman"/>
                <w:sz w:val="24"/>
              </w:rPr>
              <w:t>За институциите, които прилагат вътрешнорейтинговия подход, но не използват собствени оценки на LGD, въздействието на редуцирането на риска при финансовото обезпечение се отразява в E* — напълно коригираната стойност на експозицията, и след това в LGD* съгласно посоченото в член 230 от Регламент (ЕС) № 575/2013.</w:t>
            </w:r>
          </w:p>
          <w:p w14:paraId="4BD44AA0" w14:textId="77777777" w:rsidR="00FB3D09" w:rsidRPr="004B6DCE" w:rsidRDefault="00FB3D09" w:rsidP="00822842">
            <w:pPr>
              <w:rPr>
                <w:rFonts w:ascii="Times New Roman" w:hAnsi="Times New Roman"/>
                <w:sz w:val="24"/>
              </w:rPr>
            </w:pPr>
            <w:r w:rsidRPr="004B6DCE">
              <w:rPr>
                <w:rFonts w:ascii="Times New Roman" w:hAnsi="Times New Roman"/>
                <w:sz w:val="24"/>
              </w:rPr>
              <w:t>Среднопретеглената по експозиции LGD, свързана с вероятността от неизпълнение при всяка „категория или група длъжници“, се получава от средната стойност на пруденциалните загуби при неизпълнение, отнесени към експозициите на тази категория/група с вероятност от неизпълнение, претеглени със съответната стойност на експозицията от колона 0110.</w:t>
            </w:r>
          </w:p>
          <w:p w14:paraId="2A3FAE79" w14:textId="77777777" w:rsidR="00FB3D09" w:rsidRPr="004B6DCE" w:rsidRDefault="00FB3D09" w:rsidP="00822842">
            <w:pPr>
              <w:rPr>
                <w:rFonts w:ascii="Times New Roman" w:hAnsi="Times New Roman"/>
                <w:sz w:val="24"/>
              </w:rPr>
            </w:pPr>
            <w:r w:rsidRPr="004B6DCE">
              <w:rPr>
                <w:rFonts w:ascii="Times New Roman" w:hAnsi="Times New Roman"/>
                <w:sz w:val="24"/>
              </w:rPr>
              <w:t>Когато се използват собствени оценки на LGD, се взимат предвид член 175 и член 181, параграфи 1 и 2 от Регламент (ЕС) № 575/2013.</w:t>
            </w:r>
          </w:p>
          <w:p w14:paraId="0DF969BF" w14:textId="77777777" w:rsidR="00FB3D09" w:rsidRPr="004B6DCE" w:rsidRDefault="00FB3D09" w:rsidP="00822842">
            <w:pPr>
              <w:rPr>
                <w:rFonts w:ascii="Times New Roman" w:hAnsi="Times New Roman"/>
                <w:sz w:val="24"/>
              </w:rPr>
            </w:pPr>
            <w:r w:rsidRPr="004B6DCE">
              <w:rPr>
                <w:rFonts w:ascii="Times New Roman" w:hAnsi="Times New Roman"/>
                <w:sz w:val="24"/>
              </w:rPr>
              <w:t>Изчисляването на среднопретеглената по експозиции стойност на LGD се извежда от параметрите на риска, които действително са използвани във вътрешната рейтингова скала, одобрена от съответния компетентен орган.</w:t>
            </w:r>
          </w:p>
          <w:p w14:paraId="345A6D26" w14:textId="77777777" w:rsidR="00FB3D09" w:rsidRPr="004B6DCE" w:rsidRDefault="00FB3D09" w:rsidP="00822842">
            <w:pPr>
              <w:rPr>
                <w:rFonts w:ascii="Times New Roman" w:hAnsi="Times New Roman"/>
                <w:sz w:val="24"/>
              </w:rPr>
            </w:pPr>
            <w:r w:rsidRPr="004B6DCE">
              <w:rPr>
                <w:rFonts w:ascii="Times New Roman" w:hAnsi="Times New Roman"/>
                <w:sz w:val="24"/>
              </w:rPr>
              <w:t>Не се докладват данни за експозициите към специализирано кредитиране по член 153, параграф 5 от Регламент (ЕС) № 575/2013. Когато вероятността от неизпълнение се оценява за експозиции по специализирано кредитиране, данните се докладват въз основа на собствени оценки за LGD или на регулаторните LGD.</w:t>
            </w:r>
          </w:p>
          <w:p w14:paraId="0C1A1D74"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Експозицията и съответните LGD за големите регулирани предприятия от финансовия сектор и нерегулираните финансови предприятия не се включват в изчисленията от колона 0230, а само в изчисленията от колона 0240. </w:t>
            </w:r>
          </w:p>
        </w:tc>
      </w:tr>
      <w:tr w:rsidR="00FB3D09" w:rsidRPr="004B6DCE" w14:paraId="6B45F6BD" w14:textId="77777777" w:rsidTr="00822842">
        <w:tc>
          <w:tcPr>
            <w:tcW w:w="1188" w:type="dxa"/>
          </w:tcPr>
          <w:p w14:paraId="591C6DEB" w14:textId="77777777" w:rsidR="00FB3D09" w:rsidRPr="004B6DCE" w:rsidRDefault="00FB3D09" w:rsidP="00822842">
            <w:pPr>
              <w:rPr>
                <w:rFonts w:ascii="Times New Roman" w:hAnsi="Times New Roman"/>
                <w:sz w:val="24"/>
              </w:rPr>
            </w:pPr>
            <w:r w:rsidRPr="004B6DCE">
              <w:rPr>
                <w:rFonts w:ascii="Times New Roman" w:hAnsi="Times New Roman"/>
                <w:sz w:val="24"/>
              </w:rPr>
              <w:t>0240</w:t>
            </w:r>
          </w:p>
        </w:tc>
        <w:tc>
          <w:tcPr>
            <w:tcW w:w="8843" w:type="dxa"/>
          </w:tcPr>
          <w:p w14:paraId="32B1C75C"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СРЕДНОПРЕТЕГЛЕНА ПО ЕКСПОЗИЦИИ ЗАГУБА ПРИ НЕИЗПЪЛНЕНИЕ (LGD) (%) ЗА ГОЛЕМИ ПРЕДПРИЯТИЯ ОТ ФИНАНСОВИЯ СЕКТОР И НЕРЕГУЛИРАНИ ФИНАНСОВИ ПРЕДПРИЯТИЯ</w:t>
            </w:r>
          </w:p>
          <w:p w14:paraId="6939D8FB"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Среднопретеглената по експозиции стойност на LGD (%) за всички експозиции към големи предприятия от финансовия сектор съгласно определението в член 142, параграф 1, точка 4 от Регламент (ЕС) № 575/2013 и към нерегулирани предприятия от финансовия сектор съгласно определението в член 142, параграф 1, точка 5 от Регламент (ЕС) № 575/2013, за които се прилага по-високият коефициент на </w:t>
            </w:r>
            <w:r w:rsidRPr="004B6DCE">
              <w:rPr>
                <w:rFonts w:ascii="Times New Roman" w:hAnsi="Times New Roman"/>
                <w:sz w:val="24"/>
              </w:rPr>
              <w:lastRenderedPageBreak/>
              <w:t>корелация, определен в съответствие с член 153, параграф 2 от Регламент (ЕС) № 575/2013.</w:t>
            </w:r>
          </w:p>
        </w:tc>
      </w:tr>
      <w:tr w:rsidR="00FB3D09" w:rsidRPr="004B6DCE" w14:paraId="176E6206" w14:textId="77777777" w:rsidTr="00822842">
        <w:tc>
          <w:tcPr>
            <w:tcW w:w="1188" w:type="dxa"/>
          </w:tcPr>
          <w:p w14:paraId="76179D87"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0250</w:t>
            </w:r>
          </w:p>
        </w:tc>
        <w:tc>
          <w:tcPr>
            <w:tcW w:w="8843" w:type="dxa"/>
          </w:tcPr>
          <w:p w14:paraId="03034167"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СРЕДНОПРЕТЕГЛЕНА ПО ЕКСПОЗИЦИИ СТОЙНОСТ НА ПАДЕЖА (ДНИ)</w:t>
            </w:r>
          </w:p>
          <w:p w14:paraId="2EF0BB8D" w14:textId="77777777" w:rsidR="00FB3D09" w:rsidRPr="004B6DCE" w:rsidRDefault="00FB3D09" w:rsidP="00822842">
            <w:pPr>
              <w:rPr>
                <w:rFonts w:ascii="Times New Roman" w:hAnsi="Times New Roman"/>
                <w:sz w:val="24"/>
              </w:rPr>
            </w:pPr>
            <w:r w:rsidRPr="004B6DCE">
              <w:rPr>
                <w:rFonts w:ascii="Times New Roman" w:hAnsi="Times New Roman"/>
                <w:sz w:val="24"/>
              </w:rPr>
              <w:t>Докладваната стойност се определя в съответствие с член 162 от Регламент (ЕС) № 575/2013. За изчисляването на среднопретеглените по експозиции стойности се използва стойността на експозицията (колона 0110). Средният падеж се докладва в дни.</w:t>
            </w:r>
          </w:p>
          <w:p w14:paraId="6457CD5D" w14:textId="77777777" w:rsidR="00FB3D09" w:rsidRPr="004B6DCE" w:rsidRDefault="00FB3D09" w:rsidP="00822842">
            <w:pPr>
              <w:rPr>
                <w:rFonts w:ascii="Times New Roman" w:hAnsi="Times New Roman"/>
                <w:sz w:val="24"/>
              </w:rPr>
            </w:pPr>
            <w:r w:rsidRPr="004B6DCE">
              <w:rPr>
                <w:rFonts w:ascii="Times New Roman" w:hAnsi="Times New Roman"/>
                <w:sz w:val="24"/>
              </w:rPr>
              <w:t>Данни не се докладват за експозициите, при които падежът не е елемент в изчисляването на рисково претеглените експозиции. Това означава, че тази колона не се попълва за клас „експозиции на дребно“.</w:t>
            </w:r>
          </w:p>
        </w:tc>
      </w:tr>
      <w:tr w:rsidR="00FB3D09" w:rsidRPr="004B6DCE" w14:paraId="713A30E1" w14:textId="77777777" w:rsidTr="00822842">
        <w:tc>
          <w:tcPr>
            <w:tcW w:w="1188" w:type="dxa"/>
          </w:tcPr>
          <w:p w14:paraId="00B32F9D" w14:textId="77777777" w:rsidR="00FB3D09" w:rsidRPr="004B6DCE" w:rsidRDefault="00FB3D09" w:rsidP="00822842">
            <w:pPr>
              <w:rPr>
                <w:rFonts w:ascii="Times New Roman" w:hAnsi="Times New Roman"/>
                <w:sz w:val="24"/>
              </w:rPr>
            </w:pPr>
            <w:r w:rsidRPr="004B6DCE">
              <w:rPr>
                <w:rFonts w:ascii="Times New Roman" w:hAnsi="Times New Roman"/>
                <w:sz w:val="24"/>
              </w:rPr>
              <w:t>0255</w:t>
            </w:r>
          </w:p>
        </w:tc>
        <w:tc>
          <w:tcPr>
            <w:tcW w:w="8843" w:type="dxa"/>
          </w:tcPr>
          <w:p w14:paraId="75364CAF"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РИСКОВО ПРЕТЕГЛЕН РАЗМЕР НА ЕКСПОЗИЦИЯТА ПРЕДИ ПРИЛАГАНЕ НА КОЕФИЦИЕНТИ ЗА ПОДПОМАГАНЕ</w:t>
            </w:r>
          </w:p>
          <w:p w14:paraId="3F28CDB0"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За централни правителства и централни банки, предприятия и институции вж. член 153, параграфи 1, 2, 3 и 4 от Регламент (ЕС) № 575/2013. За експозиции на дребно вж. член 154, параграф 1 от Регламент (ЕС) № 575/2013. </w:t>
            </w:r>
          </w:p>
          <w:p w14:paraId="1B679E8C"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Посочените в членове 501 и 501а от Регламент (ЕС) № 575/2013 коефициенти за подпомагане на МСП и на финансирането на инфраструктура не се взимат предвид.</w:t>
            </w:r>
          </w:p>
        </w:tc>
      </w:tr>
      <w:tr w:rsidR="00FB3D09" w:rsidRPr="004B6DCE" w14:paraId="00547464" w14:textId="77777777" w:rsidTr="00822842">
        <w:tc>
          <w:tcPr>
            <w:tcW w:w="1188" w:type="dxa"/>
          </w:tcPr>
          <w:p w14:paraId="607227A4" w14:textId="77777777" w:rsidR="00FB3D09" w:rsidRPr="004B6DCE" w:rsidRDefault="00FB3D09" w:rsidP="00822842">
            <w:pPr>
              <w:rPr>
                <w:rFonts w:ascii="Times New Roman" w:hAnsi="Times New Roman"/>
                <w:sz w:val="24"/>
              </w:rPr>
            </w:pPr>
            <w:r w:rsidRPr="004B6DCE">
              <w:rPr>
                <w:rFonts w:ascii="Times New Roman" w:hAnsi="Times New Roman"/>
                <w:sz w:val="24"/>
              </w:rPr>
              <w:t>0256</w:t>
            </w:r>
          </w:p>
        </w:tc>
        <w:tc>
          <w:tcPr>
            <w:tcW w:w="8843" w:type="dxa"/>
          </w:tcPr>
          <w:p w14:paraId="16679AD1"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КОРИГИРАНЕ НА РИСКОВО ПРЕТЕГЛЕНИЯ РАЗМЕР НА ЕКСПОЗИЦИИТЕ ПОРАДИ КОЕФИЦИЕНТА ЗА ПОДПОМАГАНЕ НА МСП</w:t>
            </w:r>
          </w:p>
          <w:p w14:paraId="1FAB0E68"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Приспадане на разликата на рисково претеглените размери на експозициите (RWEA) за експозиции към МСП, които не са в неизпълнение, изчислени в съответствие с трета част, дял II, глава 3 от Регламент (ЕС) № 575/2013, в зависимост от случая, и RWEA* в съответствие с член 501 от същия регламент.</w:t>
            </w:r>
          </w:p>
        </w:tc>
      </w:tr>
      <w:tr w:rsidR="00FB3D09" w:rsidRPr="004B6DCE" w14:paraId="601EC6CE" w14:textId="77777777" w:rsidTr="00822842">
        <w:tc>
          <w:tcPr>
            <w:tcW w:w="1188" w:type="dxa"/>
          </w:tcPr>
          <w:p w14:paraId="4301D42E" w14:textId="77777777" w:rsidR="00FB3D09" w:rsidRPr="004B6DCE" w:rsidRDefault="00FB3D09" w:rsidP="00822842">
            <w:pPr>
              <w:rPr>
                <w:rFonts w:ascii="Times New Roman" w:hAnsi="Times New Roman"/>
                <w:sz w:val="24"/>
              </w:rPr>
            </w:pPr>
            <w:r w:rsidRPr="004B6DCE">
              <w:rPr>
                <w:rFonts w:ascii="Times New Roman" w:hAnsi="Times New Roman"/>
                <w:sz w:val="24"/>
              </w:rPr>
              <w:t>0257</w:t>
            </w:r>
          </w:p>
        </w:tc>
        <w:tc>
          <w:tcPr>
            <w:tcW w:w="8843" w:type="dxa"/>
          </w:tcPr>
          <w:p w14:paraId="3835B6DD"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КОРИГИРАНЕ НА РИСКОВО ПРЕТЕГЛЕНИЯ РАЗМЕР НА ЕКСПОЗИЦИИТЕ ПОРАДИ КОЕФИЦИЕНТА ЗА ПОДПОМАГАНЕ НА ФИНАНСИРАНЕТО НА ИНФРАСТРУКТУРА</w:t>
            </w:r>
          </w:p>
          <w:p w14:paraId="7FB50F74"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 xml:space="preserve">Приспадане на разликата на рисково претеглените размери на експозициите, изчислени в съответствие с трета част, дял II от Регламент (ЕС) № 575/2013, и коригираните RWEA за кредитен риск за експозиции към предприятия, които оперират или финансират физически инфраструктури или съоръжения, системи и мрежи, чрез които се предоставят или поддържат основни обществени услуги, в съответствие с член 501а от същия регламент. </w:t>
            </w:r>
          </w:p>
        </w:tc>
      </w:tr>
      <w:tr w:rsidR="00FB3D09" w:rsidRPr="004B6DCE" w14:paraId="01863AFF" w14:textId="77777777" w:rsidTr="00822842">
        <w:tc>
          <w:tcPr>
            <w:tcW w:w="1188" w:type="dxa"/>
            <w:shd w:val="clear" w:color="auto" w:fill="auto"/>
          </w:tcPr>
          <w:p w14:paraId="17BDBBCF" w14:textId="77777777" w:rsidR="00FB3D09" w:rsidRPr="004B6DCE" w:rsidRDefault="00FB3D09" w:rsidP="00822842">
            <w:pPr>
              <w:rPr>
                <w:rFonts w:ascii="Times New Roman" w:hAnsi="Times New Roman"/>
                <w:sz w:val="24"/>
              </w:rPr>
            </w:pPr>
            <w:r w:rsidRPr="004B6DCE">
              <w:rPr>
                <w:rFonts w:ascii="Times New Roman" w:hAnsi="Times New Roman"/>
                <w:sz w:val="24"/>
              </w:rPr>
              <w:t>0260</w:t>
            </w:r>
          </w:p>
        </w:tc>
        <w:tc>
          <w:tcPr>
            <w:tcW w:w="8843" w:type="dxa"/>
            <w:shd w:val="clear" w:color="auto" w:fill="auto"/>
          </w:tcPr>
          <w:p w14:paraId="64DAA80C"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РИСКОВО ПРЕТЕГЛЕН РАЗМЕР НА ЕКСПОЗИЦИИТЕ СЛЕД ПРИЛАГАНЕ НА КОЕФИЦИЕНТИ ЗА ПОДПОМАГАНЕ</w:t>
            </w:r>
          </w:p>
          <w:p w14:paraId="336DC8E0" w14:textId="77777777" w:rsidR="00FB3D09" w:rsidRPr="004B6DCE" w:rsidRDefault="00FB3D09" w:rsidP="00822842">
            <w:pPr>
              <w:rPr>
                <w:rFonts w:ascii="Times New Roman" w:hAnsi="Times New Roman"/>
                <w:sz w:val="24"/>
              </w:rPr>
            </w:pPr>
            <w:r w:rsidRPr="004B6DCE">
              <w:rPr>
                <w:rFonts w:ascii="Times New Roman" w:hAnsi="Times New Roman"/>
                <w:sz w:val="24"/>
              </w:rPr>
              <w:t>За централни правителства и централни банки, предприятия и институции вж. член 153, параграфи 1, 2, 3 и 4 от Регламент (ЕС) № 575/2013. За експозиции на дребно вж. член 154, параграф 1 от Регламент (ЕС) № 575/2013.</w:t>
            </w:r>
          </w:p>
          <w:p w14:paraId="15BFFE29"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Посочените в членове 501 и 501а от Регламент (ЕС) № 575/2013 коефициенти за подпомагане на МСП и на финансирането на инфраструктура се взимат предвид.</w:t>
            </w:r>
          </w:p>
        </w:tc>
      </w:tr>
      <w:tr w:rsidR="00FB3D09" w:rsidRPr="004B6DCE" w14:paraId="1E25EE5D" w14:textId="77777777" w:rsidTr="00822842">
        <w:tc>
          <w:tcPr>
            <w:tcW w:w="1188" w:type="dxa"/>
            <w:shd w:val="clear" w:color="auto" w:fill="auto"/>
          </w:tcPr>
          <w:p w14:paraId="159202C9"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0270</w:t>
            </w:r>
          </w:p>
        </w:tc>
        <w:tc>
          <w:tcPr>
            <w:tcW w:w="8843" w:type="dxa"/>
            <w:shd w:val="clear" w:color="auto" w:fill="auto"/>
          </w:tcPr>
          <w:p w14:paraId="1D818AB3"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В Т.Ч.: ГОЛЕМИ ПРЕДПРИЯТИЯ ОТ ФИНАНСОВИЯ СЕКТОР И НЕРЕГУЛИРАНИ ФИНАНСОВИ ПРЕДПРИЯТИЯ</w:t>
            </w:r>
          </w:p>
          <w:p w14:paraId="0DB2C46B" w14:textId="77777777" w:rsidR="00FB3D09" w:rsidRPr="004B6DCE" w:rsidDel="005A2363" w:rsidRDefault="00FB3D09" w:rsidP="00822842">
            <w:pPr>
              <w:rPr>
                <w:rFonts w:ascii="Times New Roman" w:hAnsi="Times New Roman"/>
                <w:sz w:val="24"/>
              </w:rPr>
            </w:pPr>
            <w:r w:rsidRPr="004B6DCE">
              <w:rPr>
                <w:rFonts w:ascii="Times New Roman" w:hAnsi="Times New Roman"/>
                <w:sz w:val="24"/>
              </w:rPr>
              <w:t>Разбивката на рисково претеглените експозиции след прилагане на коефициента за подпомагане на МСП за всички експозиции към големи предприятия от финансовия сектор съгласно определението в член 142, параграф 1, точка 4 от Регламент (ЕС) № 575/2013 и към нерегулирани предприятия от финансовия сектор съгласно определението в член 142, параграф 1, точка 5 от същия регламент, за които се прилага по-високият коефициент на корелация, определен в съответствие с член 153, параграф 2 от същия регламент.</w:t>
            </w:r>
          </w:p>
        </w:tc>
      </w:tr>
      <w:tr w:rsidR="00FB3D09" w:rsidRPr="004B6DCE" w14:paraId="60FB0B14" w14:textId="77777777" w:rsidTr="00822842">
        <w:tc>
          <w:tcPr>
            <w:tcW w:w="1188" w:type="dxa"/>
          </w:tcPr>
          <w:p w14:paraId="30362B6F" w14:textId="77777777" w:rsidR="00FB3D09" w:rsidRPr="004B6DCE" w:rsidRDefault="00FB3D09" w:rsidP="00822842">
            <w:pPr>
              <w:rPr>
                <w:rFonts w:ascii="Times New Roman" w:hAnsi="Times New Roman"/>
                <w:sz w:val="24"/>
              </w:rPr>
            </w:pPr>
            <w:r w:rsidRPr="004B6DCE">
              <w:rPr>
                <w:rFonts w:ascii="Times New Roman" w:hAnsi="Times New Roman"/>
                <w:sz w:val="24"/>
              </w:rPr>
              <w:t>0280</w:t>
            </w:r>
          </w:p>
        </w:tc>
        <w:tc>
          <w:tcPr>
            <w:tcW w:w="8843" w:type="dxa"/>
          </w:tcPr>
          <w:p w14:paraId="292D01A7"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РАЗМЕР НА ОЧАКВАНАТА ЗАГУБА</w:t>
            </w:r>
          </w:p>
          <w:p w14:paraId="3EA527F7" w14:textId="77777777" w:rsidR="00FB3D09" w:rsidRPr="004B6DCE" w:rsidRDefault="00FB3D09" w:rsidP="00822842">
            <w:pPr>
              <w:jc w:val="left"/>
              <w:rPr>
                <w:rFonts w:ascii="Times New Roman" w:hAnsi="Times New Roman"/>
                <w:sz w:val="24"/>
              </w:rPr>
            </w:pPr>
            <w:r w:rsidRPr="004B6DCE">
              <w:rPr>
                <w:rFonts w:ascii="Times New Roman" w:hAnsi="Times New Roman"/>
                <w:sz w:val="24"/>
              </w:rPr>
              <w:t>За определението на „очаквана загуба“ вж. член 5, параграф 3 от Регламент (ЕС) № 575/2013, а за изчисляването на нейния размер — член 158 от същия регламент. За експозициите в неизпълнение вж. член 181, параграф 1, буква з) от Регламент (ЕС) № 575/2013. Докладваният размер на очакваната загуба се основава на параметрите на риска, използвани действително във вътрешната рейтингова скала, одобрена от съответния компетентен орган.</w:t>
            </w:r>
          </w:p>
        </w:tc>
      </w:tr>
      <w:tr w:rsidR="00FB3D09" w:rsidRPr="004B6DCE" w14:paraId="78AB62DA" w14:textId="77777777" w:rsidTr="00822842">
        <w:tc>
          <w:tcPr>
            <w:tcW w:w="1188" w:type="dxa"/>
          </w:tcPr>
          <w:p w14:paraId="19E4E66B" w14:textId="77777777" w:rsidR="00FB3D09" w:rsidRPr="004B6DCE" w:rsidRDefault="00FB3D09" w:rsidP="00822842">
            <w:pPr>
              <w:rPr>
                <w:rFonts w:ascii="Times New Roman" w:hAnsi="Times New Roman"/>
                <w:sz w:val="24"/>
              </w:rPr>
            </w:pPr>
            <w:r w:rsidRPr="004B6DCE">
              <w:rPr>
                <w:rFonts w:ascii="Times New Roman" w:hAnsi="Times New Roman"/>
                <w:sz w:val="24"/>
              </w:rPr>
              <w:t>0290</w:t>
            </w:r>
          </w:p>
        </w:tc>
        <w:tc>
          <w:tcPr>
            <w:tcW w:w="8843" w:type="dxa"/>
          </w:tcPr>
          <w:p w14:paraId="7D685CC7"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КОРЕКЦИИ НА СТОЙНОСТТА И ПРОВИЗИИ</w:t>
            </w:r>
          </w:p>
          <w:p w14:paraId="27BC2A31" w14:textId="77777777" w:rsidR="00FB3D09" w:rsidRPr="004B6DCE" w:rsidRDefault="00FB3D09" w:rsidP="00822842">
            <w:pPr>
              <w:rPr>
                <w:rFonts w:ascii="Times New Roman" w:hAnsi="Times New Roman"/>
                <w:sz w:val="24"/>
              </w:rPr>
            </w:pPr>
            <w:r w:rsidRPr="004B6DCE">
              <w:rPr>
                <w:rFonts w:ascii="Times New Roman" w:hAnsi="Times New Roman"/>
                <w:sz w:val="24"/>
              </w:rPr>
              <w:t>Докладват се корекциите на стойността, както и корекциите за специфичен и общ кредитен риск в съответствие с член 159 от Регламент (ЕС) № 575/2013. Корекциите за общ кредитен риск се докладват чрез пропорционално отнасяне на сумата въз основа на очакваната загуба на различните категории длъжници.</w:t>
            </w:r>
          </w:p>
        </w:tc>
      </w:tr>
      <w:tr w:rsidR="00FB3D09" w:rsidRPr="004B6DCE" w14:paraId="21C57CE6" w14:textId="77777777" w:rsidTr="00822842">
        <w:tc>
          <w:tcPr>
            <w:tcW w:w="1188" w:type="dxa"/>
          </w:tcPr>
          <w:p w14:paraId="61FC4938" w14:textId="77777777" w:rsidR="00FB3D09" w:rsidRPr="004B6DCE" w:rsidRDefault="00FB3D09" w:rsidP="00822842">
            <w:pPr>
              <w:ind w:right="-288"/>
              <w:rPr>
                <w:rFonts w:ascii="Times New Roman" w:hAnsi="Times New Roman"/>
                <w:sz w:val="24"/>
              </w:rPr>
            </w:pPr>
            <w:r w:rsidRPr="004B6DCE">
              <w:rPr>
                <w:rFonts w:ascii="Times New Roman" w:hAnsi="Times New Roman"/>
                <w:sz w:val="24"/>
              </w:rPr>
              <w:t>0300</w:t>
            </w:r>
          </w:p>
        </w:tc>
        <w:tc>
          <w:tcPr>
            <w:tcW w:w="8843" w:type="dxa"/>
          </w:tcPr>
          <w:p w14:paraId="2691C548" w14:textId="77777777" w:rsidR="00FB3D09" w:rsidRPr="004B6DCE" w:rsidRDefault="00FB3D09" w:rsidP="00822842">
            <w:pPr>
              <w:ind w:right="-288"/>
              <w:rPr>
                <w:rFonts w:ascii="Times New Roman" w:hAnsi="Times New Roman"/>
                <w:b/>
                <w:sz w:val="24"/>
                <w:u w:val="single"/>
              </w:rPr>
            </w:pPr>
            <w:r w:rsidRPr="004B6DCE">
              <w:rPr>
                <w:rFonts w:ascii="Times New Roman" w:hAnsi="Times New Roman"/>
                <w:b/>
                <w:sz w:val="24"/>
                <w:u w:val="single"/>
              </w:rPr>
              <w:t>БРОЙ ДЛЪЖНИЦИ</w:t>
            </w:r>
          </w:p>
          <w:p w14:paraId="414A3020" w14:textId="77777777" w:rsidR="00FB3D09" w:rsidRPr="004B6DCE" w:rsidRDefault="00FB3D09" w:rsidP="00822842">
            <w:pPr>
              <w:rPr>
                <w:rFonts w:ascii="Times New Roman" w:hAnsi="Times New Roman"/>
                <w:sz w:val="24"/>
              </w:rPr>
            </w:pPr>
            <w:r w:rsidRPr="004B6DCE">
              <w:rPr>
                <w:rFonts w:ascii="Times New Roman" w:hAnsi="Times New Roman"/>
                <w:sz w:val="24"/>
              </w:rPr>
              <w:t>Член 172, параграфи 1 и 2 от Регламент (ЕС) № 575/2013</w:t>
            </w:r>
          </w:p>
          <w:p w14:paraId="562514B7"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За всички класове експозиции, с изключение на клас „експозиции на дребно“, както и случаите, посочени в член 172, параграф 1, буква д), второ изречение от Регламент (ЕС) № 575/2013, институцията докладва броя на юридическите лица/длъжници, на които е присъден отделен рейтинг, независимо от броя на отпуснатите различни кредити или експозиции. </w:t>
            </w:r>
          </w:p>
          <w:p w14:paraId="67988932" w14:textId="77777777" w:rsidR="00FB3D09" w:rsidRPr="004B6DCE" w:rsidRDefault="00FB3D09" w:rsidP="00822842">
            <w:pPr>
              <w:rPr>
                <w:rFonts w:ascii="Times New Roman" w:hAnsi="Times New Roman"/>
                <w:sz w:val="24"/>
              </w:rPr>
            </w:pPr>
            <w:r w:rsidRPr="004B6DCE">
              <w:rPr>
                <w:rFonts w:ascii="Times New Roman" w:hAnsi="Times New Roman"/>
                <w:sz w:val="24"/>
              </w:rPr>
              <w:t>В рамките на класа „експозиции на дребно“ или ако отделни експозиции към един и същ длъжник са отнесени съгласно член 172, параграф 1, буква д), второ изречение от Регламент (ЕС) № 575/2013 към различни категории длъжници в други класове експозиции, институцията докладва броя на експозициите, които са били отделно отнесени към определена рейтингова категория или група. Когато се прилага член 172, параграф 2 от Регламент (ЕС) № 575/2013, даден длъжник може да бъде взет предвид в повече от една категория.</w:t>
            </w:r>
          </w:p>
          <w:p w14:paraId="61D41F66" w14:textId="77777777" w:rsidR="00FB3D09" w:rsidRPr="004B6DCE" w:rsidRDefault="00FB3D09" w:rsidP="00822842">
            <w:pPr>
              <w:rPr>
                <w:rFonts w:ascii="Times New Roman" w:hAnsi="Times New Roman"/>
                <w:sz w:val="24"/>
              </w:rPr>
            </w:pPr>
            <w:r w:rsidRPr="004B6DCE">
              <w:rPr>
                <w:rStyle w:val="InstructionsTabelleText"/>
                <w:rFonts w:ascii="Times New Roman" w:hAnsi="Times New Roman"/>
                <w:sz w:val="24"/>
              </w:rPr>
              <w:t>Тъй като в тази колона се борави с елемент от структурата на рейтинговите скали, тя е свързана с първоначалните експозиции преди прилагането на конверсионния коефициент, отнесени към всяка категория или група длъжници, без да се отчита въздействието от техниките за редуциране на кредитния риск (по-специално въздействието от преразпределението).</w:t>
            </w:r>
          </w:p>
        </w:tc>
      </w:tr>
      <w:tr w:rsidR="00FB3D09" w:rsidRPr="004B6DCE" w14:paraId="387DE7F0" w14:textId="77777777" w:rsidTr="00822842">
        <w:tc>
          <w:tcPr>
            <w:tcW w:w="1188" w:type="dxa"/>
          </w:tcPr>
          <w:p w14:paraId="30554C29" w14:textId="77777777" w:rsidR="00FB3D09" w:rsidRPr="004B6DCE" w:rsidRDefault="00FB3D09" w:rsidP="00822842">
            <w:pPr>
              <w:ind w:right="-288"/>
              <w:rPr>
                <w:rFonts w:ascii="Times New Roman" w:hAnsi="Times New Roman"/>
                <w:sz w:val="24"/>
              </w:rPr>
            </w:pPr>
            <w:r w:rsidRPr="004B6DCE">
              <w:rPr>
                <w:rFonts w:ascii="Times New Roman" w:hAnsi="Times New Roman"/>
                <w:sz w:val="24"/>
              </w:rPr>
              <w:t>0310</w:t>
            </w:r>
          </w:p>
        </w:tc>
        <w:tc>
          <w:tcPr>
            <w:tcW w:w="8843" w:type="dxa"/>
          </w:tcPr>
          <w:p w14:paraId="53579B1B" w14:textId="77777777" w:rsidR="00FB3D09" w:rsidRPr="004B6DCE" w:rsidRDefault="00FB3D09" w:rsidP="00822842">
            <w:pPr>
              <w:ind w:right="-288"/>
              <w:rPr>
                <w:rFonts w:ascii="Times New Roman" w:hAnsi="Times New Roman"/>
                <w:b/>
                <w:sz w:val="24"/>
                <w:u w:val="single"/>
              </w:rPr>
            </w:pPr>
            <w:r w:rsidRPr="004B6DCE">
              <w:rPr>
                <w:rFonts w:ascii="Times New Roman" w:hAnsi="Times New Roman"/>
                <w:b/>
                <w:sz w:val="24"/>
                <w:u w:val="single"/>
              </w:rPr>
              <w:t>РИСКОВО ПРЕТЕГЛЕН РАЗМЕР НА ЕКСПОЗИЦИИЯТА ПРЕДИ КРЕДИТНИ ДЕРИВАТИ</w:t>
            </w:r>
          </w:p>
          <w:p w14:paraId="62E64F52" w14:textId="77777777" w:rsidR="00FB3D09" w:rsidRPr="004B6DCE" w:rsidRDefault="00FB3D09" w:rsidP="00822842">
            <w:pPr>
              <w:ind w:right="6"/>
              <w:rPr>
                <w:rFonts w:ascii="Times New Roman" w:hAnsi="Times New Roman"/>
                <w:b/>
                <w:sz w:val="24"/>
                <w:u w:val="single"/>
              </w:rPr>
            </w:pPr>
            <w:r w:rsidRPr="004B6DCE">
              <w:rPr>
                <w:rFonts w:ascii="Times New Roman" w:hAnsi="Times New Roman"/>
                <w:sz w:val="24"/>
              </w:rPr>
              <w:lastRenderedPageBreak/>
              <w:t>Институциите докладват хипотетичния рисково претеглен размер на експозицията, изчислен чрез действителния RWEA, без допустимите кредитни деривати да се признават като техника за редуциране на кредитния риск съгласно посоченото в член 204 от Регламент (ЕС) № 575/2013.</w:t>
            </w:r>
            <w:r w:rsidRPr="004B6DCE">
              <w:rPr>
                <w:rStyle w:val="InstructionsTabelleText"/>
                <w:rFonts w:ascii="Times New Roman" w:hAnsi="Times New Roman"/>
                <w:sz w:val="24"/>
              </w:rPr>
              <w:t xml:space="preserve"> Стойностите се представят в класовете експозиции, които се отнасят до експозициите към първоначалния длъжник.</w:t>
            </w:r>
          </w:p>
        </w:tc>
      </w:tr>
    </w:tbl>
    <w:p w14:paraId="5137B249" w14:textId="77777777" w:rsidR="00FB3D09" w:rsidRPr="004B6DC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4B6DCE" w14:paraId="182DA561" w14:textId="77777777" w:rsidTr="00822842">
        <w:tc>
          <w:tcPr>
            <w:tcW w:w="1242" w:type="dxa"/>
            <w:shd w:val="clear" w:color="auto" w:fill="CCCCCC"/>
          </w:tcPr>
          <w:p w14:paraId="60BF7B07" w14:textId="77777777" w:rsidR="00FB3D09" w:rsidRPr="004B6DCE" w:rsidRDefault="00FB3D09" w:rsidP="00822842">
            <w:pPr>
              <w:rPr>
                <w:rFonts w:ascii="Times New Roman" w:hAnsi="Times New Roman"/>
                <w:sz w:val="24"/>
              </w:rPr>
            </w:pPr>
            <w:r w:rsidRPr="004B6DCE">
              <w:rPr>
                <w:rFonts w:ascii="Times New Roman" w:hAnsi="Times New Roman"/>
                <w:sz w:val="24"/>
              </w:rPr>
              <w:t>Редове</w:t>
            </w:r>
          </w:p>
        </w:tc>
        <w:tc>
          <w:tcPr>
            <w:tcW w:w="8789" w:type="dxa"/>
            <w:shd w:val="clear" w:color="auto" w:fill="CCCCCC"/>
          </w:tcPr>
          <w:p w14:paraId="2CDF9396" w14:textId="77777777" w:rsidR="00FB3D09" w:rsidRPr="004B6DCE" w:rsidRDefault="00FB3D09" w:rsidP="00822842">
            <w:pPr>
              <w:ind w:left="72"/>
              <w:rPr>
                <w:rFonts w:ascii="Times New Roman" w:hAnsi="Times New Roman"/>
                <w:sz w:val="24"/>
              </w:rPr>
            </w:pPr>
            <w:r w:rsidRPr="004B6DCE">
              <w:rPr>
                <w:rFonts w:ascii="Times New Roman" w:hAnsi="Times New Roman"/>
                <w:sz w:val="24"/>
              </w:rPr>
              <w:t>Указания</w:t>
            </w:r>
          </w:p>
        </w:tc>
      </w:tr>
      <w:tr w:rsidR="00FB3D09" w:rsidRPr="004B6DCE" w14:paraId="262380DA" w14:textId="77777777" w:rsidTr="00822842">
        <w:tc>
          <w:tcPr>
            <w:tcW w:w="1242" w:type="dxa"/>
          </w:tcPr>
          <w:p w14:paraId="2A2E4372" w14:textId="77777777" w:rsidR="00FB3D09" w:rsidRPr="004B6DCE" w:rsidRDefault="00FB3D09" w:rsidP="00822842">
            <w:pPr>
              <w:rPr>
                <w:rFonts w:ascii="Times New Roman" w:hAnsi="Times New Roman"/>
                <w:sz w:val="24"/>
              </w:rPr>
            </w:pPr>
            <w:r w:rsidRPr="004B6DCE">
              <w:rPr>
                <w:rFonts w:ascii="Times New Roman" w:hAnsi="Times New Roman"/>
                <w:sz w:val="24"/>
              </w:rPr>
              <w:t>0010</w:t>
            </w:r>
          </w:p>
        </w:tc>
        <w:tc>
          <w:tcPr>
            <w:tcW w:w="8789" w:type="dxa"/>
          </w:tcPr>
          <w:p w14:paraId="4BDE31A6" w14:textId="77777777" w:rsidR="00FB3D09" w:rsidRPr="004B6DCE" w:rsidRDefault="00FB3D09" w:rsidP="00822842">
            <w:pPr>
              <w:rPr>
                <w:rFonts w:ascii="Times New Roman" w:hAnsi="Times New Roman"/>
                <w:sz w:val="24"/>
              </w:rPr>
            </w:pPr>
            <w:r w:rsidRPr="004B6DCE">
              <w:rPr>
                <w:rFonts w:ascii="Times New Roman" w:hAnsi="Times New Roman"/>
                <w:b/>
                <w:sz w:val="24"/>
                <w:u w:val="single"/>
              </w:rPr>
              <w:t>ОБЩО ЕКСПОЗИЦИИ</w:t>
            </w:r>
          </w:p>
        </w:tc>
      </w:tr>
      <w:tr w:rsidR="00FB3D09" w:rsidRPr="004B6DCE" w14:paraId="510EDBE9" w14:textId="77777777" w:rsidTr="00822842">
        <w:tc>
          <w:tcPr>
            <w:tcW w:w="1242" w:type="dxa"/>
          </w:tcPr>
          <w:p w14:paraId="3B12F2FA" w14:textId="77777777" w:rsidR="00FB3D09" w:rsidRPr="004B6DCE" w:rsidRDefault="00FB3D09" w:rsidP="00822842">
            <w:pPr>
              <w:rPr>
                <w:rFonts w:ascii="Times New Roman" w:hAnsi="Times New Roman"/>
                <w:sz w:val="24"/>
              </w:rPr>
            </w:pPr>
            <w:r w:rsidRPr="004B6DCE">
              <w:rPr>
                <w:rFonts w:ascii="Times New Roman" w:hAnsi="Times New Roman"/>
                <w:sz w:val="24"/>
              </w:rPr>
              <w:t>0015</w:t>
            </w:r>
          </w:p>
        </w:tc>
        <w:tc>
          <w:tcPr>
            <w:tcW w:w="8789" w:type="dxa"/>
          </w:tcPr>
          <w:p w14:paraId="61003B1B"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в т.ч.: експозиции, за които се прилага коефициент за подпомагане на МСП</w:t>
            </w:r>
          </w:p>
          <w:p w14:paraId="60E8764A" w14:textId="77777777" w:rsidR="00FB3D09" w:rsidRPr="004B6DCE" w:rsidRDefault="00FB3D09" w:rsidP="00822842">
            <w:pPr>
              <w:rPr>
                <w:rFonts w:ascii="Times New Roman" w:hAnsi="Times New Roman"/>
                <w:sz w:val="24"/>
              </w:rPr>
            </w:pPr>
            <w:r w:rsidRPr="004B6DCE">
              <w:rPr>
                <w:rFonts w:ascii="Times New Roman" w:hAnsi="Times New Roman"/>
                <w:sz w:val="24"/>
              </w:rPr>
              <w:t>Тук се докладват само експозициите, които удовлетворяват изискванията по член 501 от Регламент (ЕС) № 575/2013.</w:t>
            </w:r>
          </w:p>
        </w:tc>
      </w:tr>
      <w:tr w:rsidR="00FB3D09" w:rsidRPr="004B6DCE" w14:paraId="5CCB93AD" w14:textId="77777777" w:rsidTr="00822842">
        <w:tc>
          <w:tcPr>
            <w:tcW w:w="1242" w:type="dxa"/>
          </w:tcPr>
          <w:p w14:paraId="42174A1E" w14:textId="77777777" w:rsidR="00FB3D09" w:rsidRPr="004B6DCE" w:rsidRDefault="00FB3D09" w:rsidP="00822842">
            <w:pPr>
              <w:rPr>
                <w:rFonts w:ascii="Times New Roman" w:hAnsi="Times New Roman"/>
                <w:sz w:val="24"/>
              </w:rPr>
            </w:pPr>
            <w:r w:rsidRPr="004B6DCE">
              <w:rPr>
                <w:rFonts w:ascii="Times New Roman" w:hAnsi="Times New Roman"/>
                <w:sz w:val="24"/>
              </w:rPr>
              <w:t>0016</w:t>
            </w:r>
          </w:p>
        </w:tc>
        <w:tc>
          <w:tcPr>
            <w:tcW w:w="8789" w:type="dxa"/>
          </w:tcPr>
          <w:p w14:paraId="12833DE3"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в т.ч.: експозиции, за които се прилага коефициент за подпомагане на финансирането на инфраструктура</w:t>
            </w:r>
          </w:p>
          <w:p w14:paraId="4FE9F0E6" w14:textId="77777777" w:rsidR="00FB3D09" w:rsidRPr="004B6DCE" w:rsidRDefault="00FB3D09" w:rsidP="00822842">
            <w:pPr>
              <w:rPr>
                <w:rFonts w:ascii="Times New Roman" w:hAnsi="Times New Roman"/>
                <w:bCs/>
                <w:sz w:val="24"/>
                <w:u w:val="single"/>
              </w:rPr>
            </w:pPr>
            <w:r w:rsidRPr="004B6DCE">
              <w:rPr>
                <w:rFonts w:ascii="Times New Roman" w:hAnsi="Times New Roman"/>
                <w:sz w:val="24"/>
              </w:rPr>
              <w:t>Тук се докладват само експозициите, които удовлетворяват изискванията по член 501а от Регламент (ЕС) № 575/2013.</w:t>
            </w:r>
          </w:p>
        </w:tc>
      </w:tr>
      <w:tr w:rsidR="005E354B" w:rsidRPr="004B6DC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4B6DCE" w:rsidRDefault="005E354B" w:rsidP="0092576B">
            <w:pPr>
              <w:rPr>
                <w:rStyle w:val="FormatvorlageInstructionsTabelleText"/>
                <w:rFonts w:ascii="Times New Roman" w:hAnsi="Times New Roman"/>
                <w:bCs w:val="0"/>
                <w:sz w:val="24"/>
              </w:rPr>
            </w:pPr>
            <w:r w:rsidRPr="004B6DCE">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4B6DCE" w:rsidRDefault="005E354B" w:rsidP="0092576B">
            <w:pPr>
              <w:rPr>
                <w:rStyle w:val="InstructionsTabelleberschrift"/>
                <w:rFonts w:ascii="Times New Roman" w:hAnsi="Times New Roman"/>
                <w:bCs w:val="0"/>
                <w:sz w:val="24"/>
              </w:rPr>
            </w:pPr>
            <w:r w:rsidRPr="004B6DCE">
              <w:rPr>
                <w:rStyle w:val="InstructionsTabelleberschrift"/>
                <w:rFonts w:ascii="Times New Roman" w:hAnsi="Times New Roman"/>
                <w:sz w:val="24"/>
              </w:rPr>
              <w:t xml:space="preserve">в т.ч.: Обезпечени с ипотеки върху жилищни недвижими имоти – които не са ОДНИ </w:t>
            </w:r>
          </w:p>
          <w:p w14:paraId="78370D9A" w14:textId="6DCA960A" w:rsidR="005E354B" w:rsidRPr="004B6DCE" w:rsidRDefault="005E354B" w:rsidP="0092576B">
            <w:pPr>
              <w:rPr>
                <w:rStyle w:val="InstructionsTabelleberschrift"/>
                <w:rFonts w:ascii="Times New Roman" w:hAnsi="Times New Roman"/>
                <w:sz w:val="24"/>
                <w:u w:val="none"/>
              </w:rPr>
            </w:pPr>
            <w:r w:rsidRPr="004B6DCE">
              <w:rPr>
                <w:rFonts w:ascii="Times New Roman" w:hAnsi="Times New Roman"/>
                <w:sz w:val="24"/>
              </w:rPr>
              <w:t>Експозиции, които са обезпечени с жилищен недвижим имот съгласно определението в член 4, параграф 1, точка 75г от Регламент (ЕС) № 575/2013 и които отговарят и на определението в член 4, параграф 1, точка 75в от Регламент (ЕС) № 575/2013.</w:t>
            </w:r>
          </w:p>
        </w:tc>
      </w:tr>
      <w:tr w:rsidR="005E354B" w:rsidRPr="004B6DC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4B6DCE" w:rsidRDefault="005E354B" w:rsidP="0092576B">
            <w:pPr>
              <w:rPr>
                <w:rStyle w:val="FormatvorlageInstructionsTabelleText"/>
                <w:rFonts w:ascii="Times New Roman" w:hAnsi="Times New Roman"/>
                <w:bCs w:val="0"/>
                <w:sz w:val="24"/>
              </w:rPr>
            </w:pPr>
            <w:r w:rsidRPr="004B6DCE">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4B6DCE" w:rsidRDefault="005E354B" w:rsidP="0092576B">
            <w:pPr>
              <w:rPr>
                <w:rStyle w:val="InstructionsTabelleberschrift"/>
                <w:rFonts w:ascii="Times New Roman" w:hAnsi="Times New Roman"/>
                <w:bCs w:val="0"/>
                <w:sz w:val="24"/>
              </w:rPr>
            </w:pPr>
            <w:r w:rsidRPr="004B6DCE">
              <w:rPr>
                <w:rStyle w:val="InstructionsTabelleberschrift"/>
                <w:rFonts w:ascii="Times New Roman" w:hAnsi="Times New Roman"/>
                <w:sz w:val="24"/>
              </w:rPr>
              <w:t>в т.ч.:  Обезпечени с ипотеки върху жилищни недвижими имоти – ОДНИ</w:t>
            </w:r>
          </w:p>
          <w:p w14:paraId="0DF45C4E" w14:textId="0F60BC77" w:rsidR="005E354B" w:rsidRPr="004B6DCE" w:rsidRDefault="005E354B" w:rsidP="0092576B">
            <w:pPr>
              <w:rPr>
                <w:rStyle w:val="InstructionsTabelleberschrift"/>
                <w:rFonts w:ascii="Times New Roman" w:hAnsi="Times New Roman"/>
                <w:sz w:val="24"/>
                <w:u w:val="none"/>
              </w:rPr>
            </w:pPr>
            <w:r w:rsidRPr="004B6DCE">
              <w:rPr>
                <w:rFonts w:ascii="Times New Roman" w:hAnsi="Times New Roman"/>
                <w:sz w:val="24"/>
              </w:rPr>
              <w:t>Експозиции, които са обезпечени с жилищен недвижим имот съгласно определението в член 4, параграф 1, точка 75г от Регламент (ЕС) № 575/2013 и които отговарят и на определението в член 4, параграф 1, точка 75б от Регламент (ЕС) № 575/2013.</w:t>
            </w:r>
          </w:p>
        </w:tc>
      </w:tr>
      <w:tr w:rsidR="005E354B" w:rsidRPr="004B6DC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4B6DCE" w:rsidRDefault="005E354B" w:rsidP="0092576B">
            <w:pPr>
              <w:rPr>
                <w:rStyle w:val="FormatvorlageInstructionsTabelleText"/>
                <w:rFonts w:ascii="Times New Roman" w:hAnsi="Times New Roman"/>
                <w:bCs w:val="0"/>
                <w:sz w:val="24"/>
              </w:rPr>
            </w:pPr>
            <w:r w:rsidRPr="004B6DCE">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4B6DCE" w:rsidRDefault="005E354B" w:rsidP="0092576B">
            <w:pPr>
              <w:rPr>
                <w:rStyle w:val="InstructionsTabelleberschrift"/>
                <w:rFonts w:ascii="Times New Roman" w:hAnsi="Times New Roman"/>
                <w:bCs w:val="0"/>
                <w:sz w:val="24"/>
              </w:rPr>
            </w:pPr>
            <w:r w:rsidRPr="004B6DCE">
              <w:rPr>
                <w:rStyle w:val="InstructionsTabelleberschrift"/>
                <w:rFonts w:ascii="Times New Roman" w:hAnsi="Times New Roman"/>
                <w:sz w:val="24"/>
              </w:rPr>
              <w:t xml:space="preserve">в т.ч.: Обезпечени с ипотеки върху търговски недвижими имоти – които не са ОДНИ </w:t>
            </w:r>
          </w:p>
          <w:p w14:paraId="46FFC8D0" w14:textId="77777777" w:rsidR="005E354B" w:rsidRPr="004B6DCE" w:rsidRDefault="005E354B" w:rsidP="0092576B">
            <w:pPr>
              <w:rPr>
                <w:rStyle w:val="InstructionsTabelleberschrift"/>
                <w:rFonts w:ascii="Times New Roman" w:hAnsi="Times New Roman"/>
                <w:sz w:val="24"/>
                <w:u w:val="none"/>
              </w:rPr>
            </w:pPr>
            <w:r w:rsidRPr="004B6DCE">
              <w:rPr>
                <w:rFonts w:ascii="Times New Roman" w:hAnsi="Times New Roman"/>
                <w:sz w:val="24"/>
              </w:rPr>
              <w:t>Експозиции, които са обезпечени с търговски недвижим имот съгласно определението в член 4, параграф 1, точка 75д от Регламент (ЕС) № 575/2013 и които отговарят и на определението в член 4, параграф 1, точка 75в от Регламент (ЕС) № 575/2013.</w:t>
            </w:r>
          </w:p>
        </w:tc>
      </w:tr>
      <w:tr w:rsidR="005E354B" w:rsidRPr="004B6DC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4B6DCE" w:rsidRDefault="005E354B" w:rsidP="0092576B">
            <w:pPr>
              <w:rPr>
                <w:rStyle w:val="FormatvorlageInstructionsTabelleText"/>
                <w:rFonts w:ascii="Times New Roman" w:hAnsi="Times New Roman"/>
                <w:bCs w:val="0"/>
                <w:sz w:val="24"/>
              </w:rPr>
            </w:pPr>
            <w:r w:rsidRPr="004B6DCE">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Pr="004B6DCE" w:rsidRDefault="005E354B" w:rsidP="0092576B">
            <w:pPr>
              <w:rPr>
                <w:rStyle w:val="InstructionsTabelleberschrift"/>
                <w:rFonts w:ascii="Times New Roman" w:hAnsi="Times New Roman"/>
                <w:bCs w:val="0"/>
                <w:sz w:val="24"/>
              </w:rPr>
            </w:pPr>
            <w:r w:rsidRPr="004B6DCE">
              <w:rPr>
                <w:rStyle w:val="InstructionsTabelleberschrift"/>
                <w:rFonts w:ascii="Times New Roman" w:hAnsi="Times New Roman"/>
                <w:sz w:val="24"/>
              </w:rPr>
              <w:t>в т.ч.: Обезпечени с ипотеки върху търговски недвижими имоти – ОДНИ</w:t>
            </w:r>
          </w:p>
          <w:p w14:paraId="71978D1D" w14:textId="0B94616B" w:rsidR="005E354B" w:rsidRPr="004B6DCE" w:rsidRDefault="005E354B" w:rsidP="0092576B">
            <w:pPr>
              <w:rPr>
                <w:rStyle w:val="InstructionsTabelleberschrift"/>
                <w:rFonts w:ascii="Times New Roman" w:hAnsi="Times New Roman"/>
                <w:sz w:val="24"/>
                <w:u w:val="none"/>
              </w:rPr>
            </w:pPr>
            <w:r w:rsidRPr="004B6DCE">
              <w:rPr>
                <w:rFonts w:ascii="Times New Roman" w:hAnsi="Times New Roman"/>
                <w:sz w:val="24"/>
              </w:rPr>
              <w:t>Експозиции, които са обезпечени с търговски недвижим имот съгласно определението в член 4, параграф 1, точка 75д от Регламент (ЕС) № 575/2013 и които отговарят и на определението в член 4, параграф 1, точка 75б от Регламент (ЕС) № 575/2013.</w:t>
            </w:r>
          </w:p>
        </w:tc>
      </w:tr>
      <w:tr w:rsidR="005E354B" w:rsidRPr="004B6DC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4B6DCE" w:rsidRDefault="005E354B" w:rsidP="0092576B">
            <w:pPr>
              <w:rPr>
                <w:rStyle w:val="FormatvorlageInstructionsTabelleText"/>
                <w:rFonts w:ascii="Times New Roman" w:hAnsi="Times New Roman"/>
                <w:bCs w:val="0"/>
                <w:sz w:val="24"/>
              </w:rPr>
            </w:pPr>
            <w:r w:rsidRPr="004B6DCE">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4B6DCE" w:rsidRDefault="005E354B" w:rsidP="0092576B">
            <w:pPr>
              <w:rPr>
                <w:rStyle w:val="InstructionsTabelleberschrift"/>
                <w:rFonts w:ascii="Times New Roman" w:hAnsi="Times New Roman"/>
                <w:bCs w:val="0"/>
                <w:sz w:val="24"/>
              </w:rPr>
            </w:pPr>
            <w:r w:rsidRPr="004B6DCE">
              <w:rPr>
                <w:rStyle w:val="InstructionsTabelleberschrift"/>
                <w:rFonts w:ascii="Times New Roman" w:hAnsi="Times New Roman"/>
                <w:sz w:val="24"/>
              </w:rPr>
              <w:t>в т.ч.: Придобиване, разработване и строителство (ПРС) на терени</w:t>
            </w:r>
          </w:p>
          <w:p w14:paraId="35087895" w14:textId="03A7A920" w:rsidR="005E354B" w:rsidRPr="004B6DCE" w:rsidRDefault="005E354B" w:rsidP="0092576B">
            <w:pPr>
              <w:rPr>
                <w:rStyle w:val="InstructionsTabelleberschrift"/>
                <w:rFonts w:ascii="Times New Roman" w:hAnsi="Times New Roman"/>
                <w:sz w:val="24"/>
                <w:u w:val="none"/>
              </w:rPr>
            </w:pPr>
            <w:r w:rsidRPr="004B6DCE">
              <w:rPr>
                <w:rFonts w:ascii="Times New Roman" w:hAnsi="Times New Roman"/>
                <w:sz w:val="24"/>
              </w:rPr>
              <w:lastRenderedPageBreak/>
              <w:t>Експозиции по придобиване, разработване и строителство (ПРС) на терени („експозиции по ПРС“) съгласно определението в член 4, параграф 1, точка 78а от Регламент (ЕС) № 575/2013.</w:t>
            </w:r>
          </w:p>
        </w:tc>
      </w:tr>
      <w:tr w:rsidR="00FB3D09" w:rsidRPr="004B6DCE" w14:paraId="14B5922C" w14:textId="77777777" w:rsidTr="00822842">
        <w:tc>
          <w:tcPr>
            <w:tcW w:w="1242" w:type="dxa"/>
          </w:tcPr>
          <w:p w14:paraId="50BD9484"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0020-0060</w:t>
            </w:r>
          </w:p>
        </w:tc>
        <w:tc>
          <w:tcPr>
            <w:tcW w:w="8789" w:type="dxa"/>
          </w:tcPr>
          <w:p w14:paraId="13F7639F"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РАЗБИВКА НА ОБЩИТЕ ЕКСПОЗИЦИИ ПО ВИДОВЕ ЕКСПОЗИЦИИ</w:t>
            </w:r>
          </w:p>
        </w:tc>
      </w:tr>
      <w:tr w:rsidR="00FB3D09" w:rsidRPr="004B6DCE" w14:paraId="709208F4" w14:textId="77777777" w:rsidTr="00822842">
        <w:tc>
          <w:tcPr>
            <w:tcW w:w="1242" w:type="dxa"/>
          </w:tcPr>
          <w:p w14:paraId="14B5596F" w14:textId="77777777" w:rsidR="00FB3D09" w:rsidRPr="004B6DCE" w:rsidRDefault="00FB3D09" w:rsidP="00822842">
            <w:pPr>
              <w:rPr>
                <w:rFonts w:ascii="Times New Roman" w:hAnsi="Times New Roman"/>
                <w:sz w:val="24"/>
              </w:rPr>
            </w:pPr>
            <w:r w:rsidRPr="004B6DCE">
              <w:rPr>
                <w:rFonts w:ascii="Times New Roman" w:hAnsi="Times New Roman"/>
                <w:sz w:val="24"/>
              </w:rPr>
              <w:t>0020</w:t>
            </w:r>
          </w:p>
        </w:tc>
        <w:tc>
          <w:tcPr>
            <w:tcW w:w="8789" w:type="dxa"/>
          </w:tcPr>
          <w:p w14:paraId="0C34BAB0"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xml:space="preserve">Балансови позиции, изложени на кредитен риск </w:t>
            </w:r>
          </w:p>
          <w:p w14:paraId="5DEAB0BA" w14:textId="77777777" w:rsidR="00FB3D09" w:rsidRPr="004B6DCE" w:rsidRDefault="00FB3D09" w:rsidP="00822842">
            <w:pPr>
              <w:rPr>
                <w:rStyle w:val="InstructionsTabelleText"/>
                <w:rFonts w:ascii="Times New Roman" w:hAnsi="Times New Roman"/>
                <w:sz w:val="24"/>
              </w:rPr>
            </w:pPr>
            <w:r w:rsidRPr="004B6DCE">
              <w:rPr>
                <w:rFonts w:ascii="Times New Roman" w:hAnsi="Times New Roman"/>
                <w:sz w:val="24"/>
              </w:rPr>
              <w:t>Активите, посочени в член 24 от Регламент (ЕС) № 575/2013, не се включват в никоя друга категория.</w:t>
            </w:r>
          </w:p>
          <w:p w14:paraId="0F8AB1A8"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Експозициите към кредитен риск от контрагента се докладват в редове 0040—0060 и следователно не се докладват в този ред.</w:t>
            </w:r>
          </w:p>
          <w:p w14:paraId="3D5E954A" w14:textId="180041B5" w:rsidR="00FB3D09" w:rsidRPr="004B6DCE" w:rsidRDefault="00FB3D09" w:rsidP="00822842">
            <w:pPr>
              <w:rPr>
                <w:rFonts w:ascii="Times New Roman" w:hAnsi="Times New Roman"/>
                <w:sz w:val="24"/>
              </w:rPr>
            </w:pPr>
            <w:r w:rsidRPr="004B6DCE">
              <w:rPr>
                <w:rFonts w:ascii="Times New Roman" w:hAnsi="Times New Roman"/>
                <w:sz w:val="24"/>
              </w:rPr>
              <w:t>Свободните доставки, посочени в член 379, параграф 1 от Регламент (ЕС) № 575/2013 (ако не са приспаднати), не представляват балансова позиция, но въпреки това се докладват в този ред.</w:t>
            </w:r>
          </w:p>
        </w:tc>
      </w:tr>
      <w:tr w:rsidR="00FB3D09" w:rsidRPr="004B6DCE" w14:paraId="3FC1F87B" w14:textId="77777777" w:rsidTr="00822842">
        <w:tc>
          <w:tcPr>
            <w:tcW w:w="1242" w:type="dxa"/>
          </w:tcPr>
          <w:p w14:paraId="2D6E6703" w14:textId="77777777" w:rsidR="00FB3D09" w:rsidRPr="004B6DCE" w:rsidRDefault="00FB3D09" w:rsidP="00822842">
            <w:pPr>
              <w:rPr>
                <w:rFonts w:ascii="Times New Roman" w:hAnsi="Times New Roman"/>
                <w:sz w:val="24"/>
              </w:rPr>
            </w:pPr>
            <w:r w:rsidRPr="004B6DCE">
              <w:rPr>
                <w:rFonts w:ascii="Times New Roman" w:hAnsi="Times New Roman"/>
                <w:sz w:val="24"/>
              </w:rPr>
              <w:t>0030</w:t>
            </w:r>
          </w:p>
        </w:tc>
        <w:tc>
          <w:tcPr>
            <w:tcW w:w="8789" w:type="dxa"/>
          </w:tcPr>
          <w:p w14:paraId="7F72A6FE"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Задбалансови позиции, изложени на кредитен риск</w:t>
            </w:r>
          </w:p>
          <w:p w14:paraId="6C7D545C" w14:textId="77777777" w:rsidR="00FB3D09" w:rsidRPr="004B6DCE" w:rsidRDefault="00FB3D09" w:rsidP="00822842">
            <w:pPr>
              <w:rPr>
                <w:rStyle w:val="InstructionsTabelleText"/>
                <w:rFonts w:ascii="Times New Roman" w:hAnsi="Times New Roman"/>
                <w:sz w:val="24"/>
              </w:rPr>
            </w:pPr>
            <w:r w:rsidRPr="004B6DCE">
              <w:rPr>
                <w:rFonts w:ascii="Times New Roman" w:hAnsi="Times New Roman"/>
                <w:sz w:val="24"/>
              </w:rPr>
              <w:t>Задбалансовите позиции включват позициите в съответствие с член 166, параграф 8 от Регламент (ЕС) № 575/2013, както и позициите, изброени в приложение I към същия регламент.</w:t>
            </w:r>
          </w:p>
          <w:p w14:paraId="4AE7F57F" w14:textId="266D9AC7" w:rsidR="00FB3D09" w:rsidRPr="004B6DCE" w:rsidRDefault="00FB3D09" w:rsidP="00822842">
            <w:pPr>
              <w:rPr>
                <w:rFonts w:ascii="Times New Roman" w:hAnsi="Times New Roman"/>
                <w:sz w:val="24"/>
              </w:rPr>
            </w:pPr>
            <w:r w:rsidRPr="004B6DCE">
              <w:rPr>
                <w:rStyle w:val="InstructionsTabelleText"/>
                <w:rFonts w:ascii="Times New Roman" w:hAnsi="Times New Roman"/>
                <w:sz w:val="24"/>
              </w:rPr>
              <w:t>Експозициите към кредитен риск от контрагента се докладват в редове 0040—0060 и следователно не в този ред.</w:t>
            </w:r>
          </w:p>
        </w:tc>
      </w:tr>
      <w:tr w:rsidR="00FB3D09" w:rsidRPr="004B6DCE" w14:paraId="6A82A5B3" w14:textId="77777777" w:rsidTr="00822842">
        <w:tc>
          <w:tcPr>
            <w:tcW w:w="1242" w:type="dxa"/>
          </w:tcPr>
          <w:p w14:paraId="0F665D61" w14:textId="77777777" w:rsidR="00FB3D09" w:rsidRPr="004B6DCE" w:rsidRDefault="00FB3D09" w:rsidP="00822842">
            <w:pPr>
              <w:rPr>
                <w:rFonts w:ascii="Times New Roman" w:hAnsi="Times New Roman"/>
                <w:sz w:val="24"/>
              </w:rPr>
            </w:pPr>
            <w:r w:rsidRPr="004B6DCE">
              <w:rPr>
                <w:rStyle w:val="InstructionsTabelleText"/>
                <w:rFonts w:ascii="Times New Roman" w:hAnsi="Times New Roman"/>
                <w:sz w:val="24"/>
              </w:rPr>
              <w:t>0040-0060</w:t>
            </w:r>
          </w:p>
        </w:tc>
        <w:tc>
          <w:tcPr>
            <w:tcW w:w="8789" w:type="dxa"/>
          </w:tcPr>
          <w:p w14:paraId="65190BC8"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Експозиции / сделки, изложени на кредитен риск от контрагента</w:t>
            </w:r>
          </w:p>
          <w:p w14:paraId="0CE5E4AE"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Вж. съответните указания за CR SA в редове 0090-0130.</w:t>
            </w:r>
          </w:p>
        </w:tc>
      </w:tr>
      <w:tr w:rsidR="00FB3D09" w:rsidRPr="004B6DCE" w14:paraId="4836D530" w14:textId="77777777" w:rsidTr="00822842">
        <w:tc>
          <w:tcPr>
            <w:tcW w:w="1242" w:type="dxa"/>
          </w:tcPr>
          <w:p w14:paraId="311BB09A" w14:textId="77777777" w:rsidR="00FB3D09" w:rsidRPr="004B6DCE" w:rsidRDefault="00FB3D09" w:rsidP="00822842">
            <w:pPr>
              <w:rPr>
                <w:rFonts w:ascii="Times New Roman" w:hAnsi="Times New Roman"/>
                <w:sz w:val="24"/>
              </w:rPr>
            </w:pPr>
            <w:r w:rsidRPr="004B6DCE">
              <w:rPr>
                <w:rFonts w:ascii="Times New Roman" w:hAnsi="Times New Roman"/>
                <w:sz w:val="24"/>
              </w:rPr>
              <w:t>0040</w:t>
            </w:r>
          </w:p>
        </w:tc>
        <w:tc>
          <w:tcPr>
            <w:tcW w:w="8789" w:type="dxa"/>
          </w:tcPr>
          <w:p w14:paraId="0E52BEFE"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Нетиращи съвкупности по сделки за финансиране с ценни книжа</w:t>
            </w:r>
          </w:p>
          <w:p w14:paraId="1D8D13A1" w14:textId="4C7B9569" w:rsidR="00FB3D09" w:rsidRPr="004B6DCE" w:rsidRDefault="00FB3D09" w:rsidP="00822842">
            <w:pPr>
              <w:rPr>
                <w:rFonts w:ascii="Times New Roman" w:hAnsi="Times New Roman"/>
                <w:sz w:val="24"/>
              </w:rPr>
            </w:pPr>
            <w:r w:rsidRPr="004B6DCE">
              <w:rPr>
                <w:rFonts w:ascii="Times New Roman" w:hAnsi="Times New Roman"/>
                <w:sz w:val="24"/>
              </w:rPr>
              <w:t>Вж. съответните указания за CR SA в ред 0090.</w:t>
            </w:r>
          </w:p>
        </w:tc>
      </w:tr>
      <w:tr w:rsidR="00FB3D09" w:rsidRPr="004B6DCE" w14:paraId="1E4C52D2" w14:textId="77777777" w:rsidTr="00822842">
        <w:tc>
          <w:tcPr>
            <w:tcW w:w="1242" w:type="dxa"/>
          </w:tcPr>
          <w:p w14:paraId="7A9D7A23" w14:textId="77777777" w:rsidR="00FB3D09" w:rsidRPr="004B6DCE" w:rsidRDefault="00FB3D09" w:rsidP="00822842">
            <w:pPr>
              <w:rPr>
                <w:rFonts w:ascii="Times New Roman" w:hAnsi="Times New Roman"/>
                <w:sz w:val="24"/>
              </w:rPr>
            </w:pPr>
            <w:r w:rsidRPr="004B6DCE">
              <w:rPr>
                <w:rFonts w:ascii="Times New Roman" w:hAnsi="Times New Roman"/>
                <w:sz w:val="24"/>
              </w:rPr>
              <w:t>0050</w:t>
            </w:r>
          </w:p>
        </w:tc>
        <w:tc>
          <w:tcPr>
            <w:tcW w:w="8789" w:type="dxa"/>
          </w:tcPr>
          <w:p w14:paraId="0663798B" w14:textId="77777777" w:rsidR="00FB3D09" w:rsidRPr="004B6DCE" w:rsidRDefault="00FB3D09" w:rsidP="00822842">
            <w:pPr>
              <w:rPr>
                <w:rFonts w:ascii="Times New Roman" w:hAnsi="Times New Roman"/>
                <w:b/>
                <w:sz w:val="24"/>
                <w:u w:val="single"/>
              </w:rPr>
            </w:pPr>
            <w:r w:rsidRPr="004B6DCE">
              <w:rPr>
                <w:rStyle w:val="InstructionsTabelleberschrift"/>
                <w:rFonts w:ascii="Times New Roman" w:hAnsi="Times New Roman"/>
                <w:sz w:val="24"/>
              </w:rPr>
              <w:t>Нетиращи съвкупности по деривати и сделки с удължен сетълмент</w:t>
            </w:r>
          </w:p>
          <w:p w14:paraId="2C85A65F" w14:textId="5742CCE7" w:rsidR="00FB3D09" w:rsidRPr="004B6DCE" w:rsidRDefault="00FB3D09" w:rsidP="00822842">
            <w:pPr>
              <w:rPr>
                <w:rFonts w:ascii="Times New Roman" w:hAnsi="Times New Roman"/>
                <w:sz w:val="24"/>
              </w:rPr>
            </w:pPr>
            <w:r w:rsidRPr="004B6DCE">
              <w:rPr>
                <w:rFonts w:ascii="Times New Roman" w:hAnsi="Times New Roman"/>
                <w:sz w:val="24"/>
              </w:rPr>
              <w:t>Вж. съответните указания за CR SA в ред 0110.</w:t>
            </w:r>
          </w:p>
        </w:tc>
      </w:tr>
      <w:tr w:rsidR="00FB3D09" w:rsidRPr="004B6DCE" w14:paraId="325075B4" w14:textId="77777777" w:rsidTr="00822842">
        <w:tc>
          <w:tcPr>
            <w:tcW w:w="1242" w:type="dxa"/>
          </w:tcPr>
          <w:p w14:paraId="711200A0" w14:textId="77777777" w:rsidR="00FB3D09" w:rsidRPr="004B6DCE" w:rsidRDefault="00FB3D09" w:rsidP="00822842">
            <w:pPr>
              <w:rPr>
                <w:rFonts w:ascii="Times New Roman" w:hAnsi="Times New Roman"/>
                <w:sz w:val="24"/>
              </w:rPr>
            </w:pPr>
            <w:r w:rsidRPr="004B6DCE">
              <w:rPr>
                <w:rFonts w:ascii="Times New Roman" w:hAnsi="Times New Roman"/>
                <w:sz w:val="24"/>
              </w:rPr>
              <w:t>0060</w:t>
            </w:r>
          </w:p>
        </w:tc>
        <w:tc>
          <w:tcPr>
            <w:tcW w:w="8789" w:type="dxa"/>
          </w:tcPr>
          <w:p w14:paraId="5AAEFF1F"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От съвкупности по договорни споразумения за кръстосано нетиране на продукти</w:t>
            </w:r>
          </w:p>
          <w:p w14:paraId="067E31FD" w14:textId="77777777" w:rsidR="00FB3D09" w:rsidRPr="004B6DCE" w:rsidRDefault="00FB3D09" w:rsidP="00822842">
            <w:pPr>
              <w:rPr>
                <w:rFonts w:ascii="Times New Roman" w:hAnsi="Times New Roman"/>
                <w:sz w:val="24"/>
              </w:rPr>
            </w:pPr>
            <w:r w:rsidRPr="004B6DCE">
              <w:rPr>
                <w:rFonts w:ascii="Times New Roman" w:hAnsi="Times New Roman"/>
                <w:sz w:val="24"/>
              </w:rPr>
              <w:t>Вж. съответните указания за CR SA в ред 0130.</w:t>
            </w:r>
          </w:p>
        </w:tc>
      </w:tr>
      <w:tr w:rsidR="00FB3D09" w:rsidRPr="004B6DCE" w14:paraId="4497C028" w14:textId="77777777" w:rsidTr="00822842">
        <w:tc>
          <w:tcPr>
            <w:tcW w:w="1242" w:type="dxa"/>
          </w:tcPr>
          <w:p w14:paraId="53C0361C" w14:textId="77777777" w:rsidR="00FB3D09" w:rsidRPr="004B6DCE" w:rsidRDefault="00FB3D09" w:rsidP="00822842">
            <w:pPr>
              <w:rPr>
                <w:rFonts w:ascii="Times New Roman" w:hAnsi="Times New Roman"/>
                <w:sz w:val="24"/>
              </w:rPr>
            </w:pPr>
            <w:r w:rsidRPr="004B6DCE">
              <w:rPr>
                <w:rFonts w:ascii="Times New Roman" w:hAnsi="Times New Roman"/>
                <w:sz w:val="24"/>
              </w:rPr>
              <w:t>0070</w:t>
            </w:r>
          </w:p>
        </w:tc>
        <w:tc>
          <w:tcPr>
            <w:tcW w:w="8789" w:type="dxa"/>
          </w:tcPr>
          <w:p w14:paraId="0FE8A119"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ЕКСПОЗИЦИИ, ОТНЕСЕНИ КЪМ КАТЕГОРИИ ИЛИ ГРУПИ ДЛЪЖНИЦИ: ОБЩО</w:t>
            </w:r>
          </w:p>
          <w:p w14:paraId="6A78F626"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За експозициите към предприятия, институции, централни правителства и централни банки вж. член 142, параграф 1, точка 6 и член 170, параграф 1, буква в) от Регламент (ЕС) № 575/2013. </w:t>
            </w:r>
          </w:p>
          <w:p w14:paraId="3D88073E"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За експозициите на дребно виж член 170, параграф 3, буква б) от Регламент (ЕС) № 575/2013. За експозиции, произтичащи от закупени вземания, вж. член 166, параграф 6 от Регламент (ЕС) № 575/2013. </w:t>
            </w:r>
          </w:p>
          <w:p w14:paraId="268A9D88"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Експозициите за риск от разсейване на закупени вземания се докладват в ред 0180 и не се докладват по категории или групи длъжници.</w:t>
            </w:r>
          </w:p>
          <w:p w14:paraId="2ECA333D"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Ако институцията използва голям брой категории или групи, тя може да се споразумее с компетентните органи да докладва намален брой категории или групи. </w:t>
            </w:r>
          </w:p>
          <w:p w14:paraId="1E1C73EB"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Не се използва генерална скала, определена от надзорния орган. Вместо това институциите трябва сами да определят скалата, която да се използва. </w:t>
            </w:r>
          </w:p>
        </w:tc>
      </w:tr>
      <w:tr w:rsidR="00FB3D09" w:rsidRPr="004B6DCE" w14:paraId="1A5B7F57" w14:textId="77777777" w:rsidTr="00822842">
        <w:tc>
          <w:tcPr>
            <w:tcW w:w="1242" w:type="dxa"/>
          </w:tcPr>
          <w:p w14:paraId="0CB3AACE"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0080</w:t>
            </w:r>
          </w:p>
        </w:tc>
        <w:tc>
          <w:tcPr>
            <w:tcW w:w="8789" w:type="dxa"/>
          </w:tcPr>
          <w:p w14:paraId="63AC665E" w14:textId="77777777" w:rsidR="00FB3D09" w:rsidRPr="004B6DCE" w:rsidRDefault="00FB3D09" w:rsidP="00822842">
            <w:pPr>
              <w:rPr>
                <w:rFonts w:ascii="Times New Roman" w:hAnsi="Times New Roman"/>
                <w:sz w:val="24"/>
              </w:rPr>
            </w:pPr>
            <w:r w:rsidRPr="004B6DCE">
              <w:rPr>
                <w:rFonts w:ascii="Times New Roman" w:hAnsi="Times New Roman"/>
                <w:b/>
                <w:sz w:val="24"/>
                <w:u w:val="single"/>
              </w:rPr>
              <w:t>РАЗГРАНИЧИТЕЛЕН ПОДХОД ВЪВ ВРЪЗКА СЪС СПЕЦИАЛИЗИРАНОТО КРЕДИТИРАНЕ: ОБЩО</w:t>
            </w:r>
          </w:p>
          <w:p w14:paraId="67E01391"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Член 153, параграф 5 от Регламент (ЕС) № 575/2013 Това се отнася само за клас експозиции „Предприятия — специализирано кредитиране“. </w:t>
            </w:r>
          </w:p>
        </w:tc>
      </w:tr>
      <w:tr w:rsidR="00FB3D09" w:rsidRPr="004B6DCE" w14:paraId="56D99296" w14:textId="77777777" w:rsidTr="00822842">
        <w:tc>
          <w:tcPr>
            <w:tcW w:w="1242" w:type="dxa"/>
          </w:tcPr>
          <w:p w14:paraId="4330E208" w14:textId="77777777" w:rsidR="00FB3D09" w:rsidRPr="004B6DCE" w:rsidRDefault="00FB3D09" w:rsidP="00822842">
            <w:pPr>
              <w:rPr>
                <w:rFonts w:ascii="Times New Roman" w:hAnsi="Times New Roman"/>
                <w:sz w:val="24"/>
              </w:rPr>
            </w:pPr>
            <w:r w:rsidRPr="004B6DCE">
              <w:rPr>
                <w:rFonts w:ascii="Times New Roman" w:hAnsi="Times New Roman"/>
                <w:sz w:val="24"/>
              </w:rPr>
              <w:t>0160</w:t>
            </w:r>
          </w:p>
        </w:tc>
        <w:tc>
          <w:tcPr>
            <w:tcW w:w="8789" w:type="dxa"/>
          </w:tcPr>
          <w:p w14:paraId="455C13F0"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АЛТЕРНАТИВНО ТРЕТИРАНЕ: ОБЕЗПЕЧЕНИ С НЕДВИЖИМИ ИМОТИ</w:t>
            </w:r>
          </w:p>
          <w:p w14:paraId="7875BF84" w14:textId="77777777" w:rsidR="00FB3D09" w:rsidRPr="004B6DCE" w:rsidRDefault="00FB3D09" w:rsidP="00822842">
            <w:pPr>
              <w:rPr>
                <w:rFonts w:ascii="Times New Roman" w:hAnsi="Times New Roman"/>
                <w:sz w:val="24"/>
              </w:rPr>
            </w:pPr>
            <w:r w:rsidRPr="004B6DCE">
              <w:rPr>
                <w:rFonts w:ascii="Times New Roman" w:hAnsi="Times New Roman"/>
                <w:sz w:val="24"/>
              </w:rPr>
              <w:t>Член 193, параграфи 1 и 2, член 194, параграфи 1 — 7 и член 230, параграф 3 от Регламент (ЕС) № 575/2013</w:t>
            </w:r>
          </w:p>
          <w:p w14:paraId="58412948" w14:textId="77777777" w:rsidR="00FB3D09" w:rsidRPr="004B6DCE" w:rsidRDefault="00FB3D09" w:rsidP="00822842">
            <w:pPr>
              <w:rPr>
                <w:rFonts w:ascii="Times New Roman" w:hAnsi="Times New Roman"/>
                <w:sz w:val="24"/>
              </w:rPr>
            </w:pPr>
            <w:r w:rsidRPr="004B6DCE">
              <w:rPr>
                <w:rFonts w:ascii="Times New Roman" w:hAnsi="Times New Roman"/>
                <w:sz w:val="24"/>
              </w:rPr>
              <w:t>Тази алтернатива е достъпна само за институции, които използват основен вътрешнорейтингов подход.</w:t>
            </w:r>
          </w:p>
        </w:tc>
      </w:tr>
      <w:tr w:rsidR="00FB3D09" w:rsidRPr="004B6DCE" w14:paraId="65DA4F0E" w14:textId="77777777" w:rsidTr="00822842">
        <w:tc>
          <w:tcPr>
            <w:tcW w:w="1242" w:type="dxa"/>
          </w:tcPr>
          <w:p w14:paraId="73D95FC1" w14:textId="77777777" w:rsidR="00FB3D09" w:rsidRPr="004B6DCE" w:rsidRDefault="00FB3D09" w:rsidP="00822842">
            <w:pPr>
              <w:rPr>
                <w:rFonts w:ascii="Times New Roman" w:hAnsi="Times New Roman"/>
                <w:sz w:val="24"/>
              </w:rPr>
            </w:pPr>
            <w:r w:rsidRPr="004B6DCE">
              <w:rPr>
                <w:rFonts w:ascii="Times New Roman" w:hAnsi="Times New Roman"/>
                <w:sz w:val="24"/>
              </w:rPr>
              <w:t>0170</w:t>
            </w:r>
          </w:p>
        </w:tc>
        <w:tc>
          <w:tcPr>
            <w:tcW w:w="8789" w:type="dxa"/>
          </w:tcPr>
          <w:p w14:paraId="753B5217"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ЕКСПОЗИЦИИ ОТ СВОБОДНИ ДОСТАВКИ ПРИ ПРИЛАГАНЕ НА РИСКОВИ ТЕГЛА СЪГЛАСНО АЛТЕРНАТИВНОТО ТРЕТИРАНЕ ИЛИ 100 % И ДРУГИ ЕКСПОЗИЦИИ, ЗА КОИТО СЕ ПРИЛАГАТ РИСКОВИ ТЕГЛА</w:t>
            </w:r>
          </w:p>
          <w:p w14:paraId="7FC93A9B" w14:textId="77777777" w:rsidR="00FB3D09" w:rsidRPr="004B6DCE" w:rsidRDefault="00FB3D09" w:rsidP="00822842">
            <w:pPr>
              <w:rPr>
                <w:rFonts w:ascii="Times New Roman" w:hAnsi="Times New Roman"/>
                <w:sz w:val="24"/>
              </w:rPr>
            </w:pPr>
            <w:r w:rsidRPr="004B6DCE">
              <w:rPr>
                <w:rFonts w:ascii="Times New Roman" w:hAnsi="Times New Roman"/>
                <w:sz w:val="24"/>
              </w:rPr>
              <w:t>Експозиции, произтичащи от свободни доставки, за които се използва алтернативното третиране, посочено в член 379, параграф 2, алинея първа, последно изречение от Регламент (ЕС) № 575/2013, или за които се прилага 100 % рисково тегло в съответствие с член 379, параграф 2, последна алинея от Регламент (ЕС) № 575/2013. В този ред се докладват нямащите рейтинг кредитни деривати за „n-то“ неизпълнение в съответствие с член 153, параграф 8 от Регламент (ЕС) № 575/2013 и всички други експозиции, за които се прилагат рискови тегла, които не са включени в никой друг ред.</w:t>
            </w:r>
          </w:p>
        </w:tc>
      </w:tr>
      <w:tr w:rsidR="00FB3D09" w:rsidRPr="004B6DCE" w14:paraId="645730D7" w14:textId="77777777" w:rsidTr="00822842">
        <w:tc>
          <w:tcPr>
            <w:tcW w:w="1242" w:type="dxa"/>
          </w:tcPr>
          <w:p w14:paraId="0317CAF2" w14:textId="77777777" w:rsidR="00FB3D09" w:rsidRPr="004B6DCE" w:rsidRDefault="00FB3D09" w:rsidP="00822842">
            <w:pPr>
              <w:rPr>
                <w:rFonts w:ascii="Times New Roman" w:hAnsi="Times New Roman"/>
                <w:sz w:val="24"/>
              </w:rPr>
            </w:pPr>
            <w:r w:rsidRPr="004B6DCE">
              <w:rPr>
                <w:rFonts w:ascii="Times New Roman" w:hAnsi="Times New Roman"/>
                <w:sz w:val="24"/>
              </w:rPr>
              <w:t>0180</w:t>
            </w:r>
          </w:p>
        </w:tc>
        <w:tc>
          <w:tcPr>
            <w:tcW w:w="8789" w:type="dxa"/>
          </w:tcPr>
          <w:p w14:paraId="42D146E2" w14:textId="77777777" w:rsidR="00FB3D09" w:rsidRPr="004B6DCE" w:rsidRDefault="00FB3D09" w:rsidP="00822842">
            <w:pPr>
              <w:rPr>
                <w:rStyle w:val="InstructionsTabelleberschrift"/>
                <w:rFonts w:ascii="Times New Roman" w:hAnsi="Times New Roman"/>
                <w:sz w:val="24"/>
              </w:rPr>
            </w:pPr>
            <w:r w:rsidRPr="004B6DCE">
              <w:rPr>
                <w:rStyle w:val="InstructionsTabelleberschrift"/>
                <w:rFonts w:ascii="Times New Roman" w:hAnsi="Times New Roman"/>
                <w:sz w:val="24"/>
              </w:rPr>
              <w:t>РИСК ОТ РАЗСЕЙВАНЕ: ОБЩО ЗАКУПЕНИ ВЗЕМАНИЯ</w:t>
            </w:r>
          </w:p>
          <w:p w14:paraId="1ADE7C67" w14:textId="5F3B1E00" w:rsidR="00FB3D09" w:rsidRPr="004B6DCE" w:rsidRDefault="00FB3D09" w:rsidP="00822842">
            <w:pPr>
              <w:rPr>
                <w:rFonts w:ascii="Times New Roman" w:hAnsi="Times New Roman"/>
                <w:sz w:val="24"/>
              </w:rPr>
            </w:pPr>
            <w:r w:rsidRPr="004B6DCE">
              <w:rPr>
                <w:rFonts w:ascii="Times New Roman" w:hAnsi="Times New Roman"/>
                <w:sz w:val="24"/>
              </w:rPr>
              <w:t>Вж. член 4, параграф 1, точка 53 от Регламент (ЕС) № 575/2013 за определението на „риск от разсейване“. За изчисляване на рисково претеглените размери на експозициите за риска от разсейване вж. член 157 от Регламент (ЕС) № 575/2013. Рискът от разсейване се докладва за закупени вземания към предприятия и закупени вземания на дребно.</w:t>
            </w:r>
          </w:p>
        </w:tc>
      </w:tr>
      <w:tr w:rsidR="00FB3D09" w:rsidRPr="004B6DCE" w14:paraId="2103336C" w14:textId="77777777" w:rsidTr="00822842">
        <w:trPr>
          <w:trHeight w:val="300"/>
        </w:trPr>
        <w:tc>
          <w:tcPr>
            <w:tcW w:w="1242" w:type="dxa"/>
          </w:tcPr>
          <w:p w14:paraId="7FF9957F" w14:textId="06F9FE7A" w:rsidR="00FB3D09" w:rsidRPr="004B6DCE" w:rsidRDefault="00FB3D09" w:rsidP="00822842">
            <w:pPr>
              <w:rPr>
                <w:rFonts w:ascii="Times New Roman" w:hAnsi="Times New Roman"/>
                <w:sz w:val="24"/>
              </w:rPr>
            </w:pPr>
            <w:r w:rsidRPr="004B6DCE">
              <w:rPr>
                <w:rFonts w:ascii="Times New Roman" w:hAnsi="Times New Roman"/>
                <w:sz w:val="24"/>
              </w:rPr>
              <w:t>0190-0210</w:t>
            </w:r>
          </w:p>
        </w:tc>
        <w:tc>
          <w:tcPr>
            <w:tcW w:w="8789" w:type="dxa"/>
          </w:tcPr>
          <w:p w14:paraId="24E930D5" w14:textId="57FAC10C" w:rsidR="00FB3D09" w:rsidRPr="004B6DCE" w:rsidRDefault="00FB3D09" w:rsidP="00822842">
            <w:pPr>
              <w:rPr>
                <w:rFonts w:ascii="Times New Roman" w:hAnsi="Times New Roman"/>
                <w:b/>
                <w:bCs/>
                <w:sz w:val="24"/>
                <w:u w:val="single"/>
              </w:rPr>
            </w:pPr>
            <w:r w:rsidRPr="004B6DCE">
              <w:rPr>
                <w:rFonts w:ascii="Times New Roman" w:hAnsi="Times New Roman"/>
                <w:b/>
                <w:sz w:val="24"/>
                <w:u w:val="single"/>
              </w:rPr>
              <w:t>РАЗБИВКА НА ОБЩИТЕ ЕКСПОЗИЦИИ ПО ПОДХОД (ПКИ):</w:t>
            </w:r>
          </w:p>
        </w:tc>
      </w:tr>
      <w:tr w:rsidR="00FB3D09" w:rsidRPr="004B6DCE" w14:paraId="62E31418" w14:textId="77777777" w:rsidTr="00822842">
        <w:trPr>
          <w:trHeight w:val="300"/>
        </w:trPr>
        <w:tc>
          <w:tcPr>
            <w:tcW w:w="1242" w:type="dxa"/>
          </w:tcPr>
          <w:p w14:paraId="12D87A1F" w14:textId="77777777" w:rsidR="00FB3D09" w:rsidRPr="004B6DCE" w:rsidRDefault="00FB3D09" w:rsidP="00822842">
            <w:pPr>
              <w:rPr>
                <w:rFonts w:ascii="Times New Roman" w:hAnsi="Times New Roman"/>
                <w:sz w:val="24"/>
              </w:rPr>
            </w:pPr>
            <w:r w:rsidRPr="004B6DCE">
              <w:rPr>
                <w:rFonts w:ascii="Times New Roman" w:hAnsi="Times New Roman"/>
                <w:sz w:val="24"/>
              </w:rPr>
              <w:t>0190</w:t>
            </w:r>
          </w:p>
        </w:tc>
        <w:tc>
          <w:tcPr>
            <w:tcW w:w="8789" w:type="dxa"/>
          </w:tcPr>
          <w:p w14:paraId="15D1C078" w14:textId="3090FC4B" w:rsidR="00FB3D09" w:rsidRPr="004B6DCE" w:rsidRDefault="00FB3D09" w:rsidP="00822842">
            <w:pPr>
              <w:rPr>
                <w:rStyle w:val="InstructionsTabelleberschrift"/>
                <w:rFonts w:ascii="Times New Roman" w:hAnsi="Times New Roman"/>
                <w:sz w:val="24"/>
              </w:rPr>
            </w:pPr>
            <w:r w:rsidRPr="004B6DCE">
              <w:rPr>
                <w:rFonts w:ascii="Times New Roman" w:hAnsi="Times New Roman"/>
                <w:b/>
                <w:sz w:val="24"/>
                <w:u w:val="single"/>
              </w:rPr>
              <w:t>Подход на подробен преглед</w:t>
            </w:r>
          </w:p>
          <w:p w14:paraId="2AD180D4" w14:textId="3719286C" w:rsidR="00FB3D09" w:rsidRPr="004B6DCE" w:rsidRDefault="00FB3D09" w:rsidP="00822842">
            <w:pPr>
              <w:spacing w:after="160" w:line="257" w:lineRule="auto"/>
              <w:rPr>
                <w:rFonts w:ascii="Times New Roman" w:eastAsia="Calibri" w:hAnsi="Times New Roman"/>
                <w:color w:val="000000" w:themeColor="text1"/>
                <w:sz w:val="24"/>
              </w:rPr>
            </w:pPr>
            <w:r w:rsidRPr="004B6DCE">
              <w:rPr>
                <w:rFonts w:ascii="Times New Roman" w:hAnsi="Times New Roman"/>
                <w:sz w:val="24"/>
              </w:rPr>
              <w:t>Член 152, параграф 1 от Регламент (ЕС) № 575/2013</w:t>
            </w:r>
          </w:p>
          <w:p w14:paraId="42481890" w14:textId="79FAD87D" w:rsidR="00FB3D09" w:rsidRPr="004B6DCE" w:rsidRDefault="00FB3D09" w:rsidP="00822842">
            <w:pPr>
              <w:rPr>
                <w:rFonts w:ascii="Times New Roman" w:hAnsi="Times New Roman"/>
                <w:sz w:val="24"/>
              </w:rPr>
            </w:pPr>
            <w:r w:rsidRPr="004B6DCE">
              <w:rPr>
                <w:rFonts w:ascii="Times New Roman" w:hAnsi="Times New Roman"/>
                <w:sz w:val="24"/>
              </w:rPr>
              <w:t xml:space="preserve">Този ред се докладва за клас експозиции „Предприятия за колективно инвестиране (ПКИ)“ и в таблица „Общо“. Освен това той се докладва като поясняваща позиция </w:t>
            </w:r>
            <w:r w:rsidRPr="004B6DCE">
              <w:rPr>
                <w:rFonts w:ascii="Times New Roman" w:hAnsi="Times New Roman"/>
                <w:sz w:val="24"/>
              </w:rPr>
              <w:lastRenderedPageBreak/>
              <w:t>в другите класове експозиции по вътрешнорейтинговия подход, като при този подход базисните експозиции се класифицират съгласно съответния си клас.</w:t>
            </w:r>
          </w:p>
        </w:tc>
      </w:tr>
      <w:tr w:rsidR="00FB3D09" w:rsidRPr="004B6DCE" w14:paraId="66E7EEA8" w14:textId="77777777" w:rsidTr="00822842">
        <w:trPr>
          <w:trHeight w:val="300"/>
        </w:trPr>
        <w:tc>
          <w:tcPr>
            <w:tcW w:w="1242" w:type="dxa"/>
          </w:tcPr>
          <w:p w14:paraId="3C86B702"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0200</w:t>
            </w:r>
          </w:p>
        </w:tc>
        <w:tc>
          <w:tcPr>
            <w:tcW w:w="8789" w:type="dxa"/>
          </w:tcPr>
          <w:p w14:paraId="17279CD9" w14:textId="57707F46" w:rsidR="00FB3D09" w:rsidRPr="004B6DCE" w:rsidRDefault="00FB3D09" w:rsidP="00822842">
            <w:pPr>
              <w:rPr>
                <w:rStyle w:val="InstructionsTabelleberschrift"/>
                <w:rFonts w:ascii="Times New Roman" w:hAnsi="Times New Roman"/>
                <w:sz w:val="24"/>
              </w:rPr>
            </w:pPr>
            <w:r w:rsidRPr="004B6DCE">
              <w:rPr>
                <w:rFonts w:ascii="Times New Roman" w:hAnsi="Times New Roman"/>
                <w:b/>
                <w:sz w:val="24"/>
                <w:u w:val="single"/>
              </w:rPr>
              <w:t>Мандатен подход</w:t>
            </w:r>
          </w:p>
          <w:p w14:paraId="65B8F17E" w14:textId="77777777" w:rsidR="00FB3D09" w:rsidRPr="004B6DCE" w:rsidRDefault="00FB3D09" w:rsidP="00822842">
            <w:pPr>
              <w:spacing w:after="160" w:line="257" w:lineRule="auto"/>
              <w:rPr>
                <w:rFonts w:ascii="Times New Roman" w:eastAsia="Calibri" w:hAnsi="Times New Roman"/>
                <w:color w:val="000000" w:themeColor="text1"/>
                <w:sz w:val="24"/>
              </w:rPr>
            </w:pPr>
            <w:r w:rsidRPr="004B6DCE">
              <w:rPr>
                <w:rFonts w:ascii="Times New Roman" w:hAnsi="Times New Roman"/>
                <w:sz w:val="24"/>
              </w:rPr>
              <w:t>Член 152, параграф 5 от Регламент (ЕС) № 575/2013</w:t>
            </w:r>
          </w:p>
          <w:p w14:paraId="0315659D" w14:textId="271145EC" w:rsidR="00FB3D09" w:rsidRPr="004B6DCE" w:rsidRDefault="00FB3D09" w:rsidP="00822842">
            <w:pPr>
              <w:rPr>
                <w:rFonts w:ascii="Times New Roman" w:hAnsi="Times New Roman"/>
                <w:sz w:val="24"/>
              </w:rPr>
            </w:pPr>
            <w:r w:rsidRPr="004B6DCE">
              <w:rPr>
                <w:rFonts w:ascii="Times New Roman" w:hAnsi="Times New Roman"/>
                <w:sz w:val="24"/>
              </w:rPr>
              <w:t>Този ред се докладва само за клас експозиции „Предприятия за колективно инвестиране (ПКИ)“ и в таблица „Общо“.</w:t>
            </w:r>
          </w:p>
        </w:tc>
      </w:tr>
      <w:tr w:rsidR="00FB3D09" w:rsidRPr="004B6DCE" w14:paraId="1E5A599B" w14:textId="77777777" w:rsidTr="00822842">
        <w:trPr>
          <w:trHeight w:val="300"/>
        </w:trPr>
        <w:tc>
          <w:tcPr>
            <w:tcW w:w="1242" w:type="dxa"/>
          </w:tcPr>
          <w:p w14:paraId="6ABB8CD4" w14:textId="77777777" w:rsidR="00FB3D09" w:rsidRPr="004B6DCE" w:rsidRDefault="00FB3D09" w:rsidP="00822842">
            <w:pPr>
              <w:rPr>
                <w:rFonts w:ascii="Times New Roman" w:hAnsi="Times New Roman"/>
                <w:sz w:val="24"/>
              </w:rPr>
            </w:pPr>
            <w:r w:rsidRPr="004B6DCE">
              <w:rPr>
                <w:rFonts w:ascii="Times New Roman" w:hAnsi="Times New Roman"/>
                <w:sz w:val="24"/>
              </w:rPr>
              <w:t>0210</w:t>
            </w:r>
          </w:p>
        </w:tc>
        <w:tc>
          <w:tcPr>
            <w:tcW w:w="8789" w:type="dxa"/>
          </w:tcPr>
          <w:p w14:paraId="3816A424" w14:textId="13F62D85" w:rsidR="00FB3D09" w:rsidRPr="004B6DCE" w:rsidRDefault="00FB3D09" w:rsidP="00822842">
            <w:pPr>
              <w:rPr>
                <w:rStyle w:val="InstructionsTabelleberschrift"/>
                <w:rFonts w:ascii="Times New Roman" w:hAnsi="Times New Roman"/>
                <w:sz w:val="24"/>
              </w:rPr>
            </w:pPr>
            <w:r w:rsidRPr="004B6DCE">
              <w:rPr>
                <w:rFonts w:ascii="Times New Roman" w:hAnsi="Times New Roman"/>
                <w:b/>
                <w:sz w:val="24"/>
                <w:u w:val="single"/>
              </w:rPr>
              <w:t>Алтернативен подход</w:t>
            </w:r>
          </w:p>
          <w:p w14:paraId="57A3CDF9" w14:textId="77777777" w:rsidR="00FB3D09" w:rsidRPr="004B6DCE" w:rsidRDefault="00FB3D09" w:rsidP="00822842">
            <w:pPr>
              <w:spacing w:after="160" w:line="257" w:lineRule="auto"/>
              <w:rPr>
                <w:rFonts w:ascii="Times New Roman" w:eastAsia="Calibri" w:hAnsi="Times New Roman"/>
                <w:color w:val="000000" w:themeColor="text1"/>
                <w:sz w:val="24"/>
              </w:rPr>
            </w:pPr>
            <w:r w:rsidRPr="004B6DCE">
              <w:rPr>
                <w:rFonts w:ascii="Times New Roman" w:hAnsi="Times New Roman"/>
                <w:color w:val="000000" w:themeColor="text1"/>
                <w:sz w:val="24"/>
              </w:rPr>
              <w:t>член 152, параграф 6 от Регламент (ЕС) № 575/2013</w:t>
            </w:r>
          </w:p>
          <w:p w14:paraId="42219B94" w14:textId="77777777" w:rsidR="00FB3D09" w:rsidRPr="004B6DCE" w:rsidRDefault="00FB3D09" w:rsidP="00822842">
            <w:pPr>
              <w:rPr>
                <w:rFonts w:ascii="Times New Roman" w:hAnsi="Times New Roman"/>
                <w:sz w:val="24"/>
              </w:rPr>
            </w:pPr>
            <w:r w:rsidRPr="004B6DCE">
              <w:rPr>
                <w:rFonts w:ascii="Times New Roman" w:hAnsi="Times New Roman"/>
                <w:sz w:val="24"/>
              </w:rPr>
              <w:t>Този ред се докладва само за клас експозиции „Предприятия за колективно инвестиране (ПКИ)“ и в таблица „Общо“.</w:t>
            </w:r>
          </w:p>
        </w:tc>
      </w:tr>
    </w:tbl>
    <w:p w14:paraId="0B2C44D0" w14:textId="77777777" w:rsidR="00FB3D09" w:rsidRPr="004B6DC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4B6DC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sidRPr="004B6DCE">
        <w:rPr>
          <w:rFonts w:ascii="Times New Roman" w:hAnsi="Times New Roman"/>
          <w:sz w:val="24"/>
          <w:u w:val="none"/>
        </w:rPr>
        <w:t>3.3.4.</w:t>
      </w:r>
      <w:r w:rsidRPr="004B6DCE">
        <w:rPr>
          <w:rFonts w:ascii="Times New Roman" w:hAnsi="Times New Roman"/>
          <w:sz w:val="24"/>
          <w:u w:val="none"/>
        </w:rPr>
        <w:tab/>
      </w:r>
      <w:r w:rsidRPr="004B6DCE">
        <w:rPr>
          <w:rFonts w:ascii="Times New Roman" w:hAnsi="Times New Roman"/>
          <w:sz w:val="24"/>
        </w:rPr>
        <w:t>C 08.02 – Кредитен риск и кредитен риск от контрагента и свободни доставки: вътрешнорейтингов подход към капиталовите изисквания: разбивка по категории или групи длъжници (образец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4B6DCE" w14:paraId="56EC6AC2" w14:textId="77777777" w:rsidTr="00822842">
        <w:tc>
          <w:tcPr>
            <w:tcW w:w="2024" w:type="dxa"/>
            <w:shd w:val="clear" w:color="auto" w:fill="BFBFBF"/>
          </w:tcPr>
          <w:p w14:paraId="2B478CBD" w14:textId="77777777" w:rsidR="00FB3D09" w:rsidRPr="004B6DCE" w:rsidRDefault="00FB3D09" w:rsidP="00822842">
            <w:pPr>
              <w:rPr>
                <w:rFonts w:ascii="Times New Roman" w:hAnsi="Times New Roman"/>
                <w:sz w:val="24"/>
              </w:rPr>
            </w:pPr>
            <w:r w:rsidRPr="004B6DCE">
              <w:rPr>
                <w:rFonts w:ascii="Times New Roman" w:hAnsi="Times New Roman"/>
                <w:sz w:val="24"/>
              </w:rPr>
              <w:t>Колона</w:t>
            </w:r>
          </w:p>
        </w:tc>
        <w:tc>
          <w:tcPr>
            <w:tcW w:w="7804" w:type="dxa"/>
            <w:shd w:val="clear" w:color="auto" w:fill="BFBFBF"/>
          </w:tcPr>
          <w:p w14:paraId="72EF06FF"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76358864" w14:textId="77777777" w:rsidTr="00822842">
        <w:tc>
          <w:tcPr>
            <w:tcW w:w="2024" w:type="dxa"/>
          </w:tcPr>
          <w:p w14:paraId="46C873B6" w14:textId="77777777" w:rsidR="00FB3D09" w:rsidRPr="004B6DCE" w:rsidRDefault="00FB3D09" w:rsidP="00822842">
            <w:pPr>
              <w:rPr>
                <w:rFonts w:ascii="Times New Roman" w:hAnsi="Times New Roman"/>
                <w:sz w:val="24"/>
              </w:rPr>
            </w:pPr>
            <w:r w:rsidRPr="004B6DCE">
              <w:rPr>
                <w:rFonts w:ascii="Times New Roman" w:hAnsi="Times New Roman"/>
                <w:sz w:val="24"/>
              </w:rPr>
              <w:t>0005</w:t>
            </w:r>
          </w:p>
        </w:tc>
        <w:tc>
          <w:tcPr>
            <w:tcW w:w="7804" w:type="dxa"/>
          </w:tcPr>
          <w:p w14:paraId="130BE1CA"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Категория длъжници (идентификатор на реда)</w:t>
            </w:r>
          </w:p>
          <w:p w14:paraId="49E1BF99" w14:textId="77777777" w:rsidR="00FB3D09" w:rsidRPr="004B6DCE" w:rsidRDefault="00FB3D09" w:rsidP="00822842">
            <w:pPr>
              <w:rPr>
                <w:rFonts w:ascii="Times New Roman" w:hAnsi="Times New Roman"/>
                <w:sz w:val="24"/>
              </w:rPr>
            </w:pPr>
            <w:r w:rsidRPr="004B6DCE">
              <w:rPr>
                <w:rFonts w:ascii="Times New Roman" w:hAnsi="Times New Roman"/>
                <w:sz w:val="24"/>
              </w:rPr>
              <w:t>Това е идентификатор на реда и трябва да е различен за всеки работен лист от образеца. Той следва поредността на номерата 1, 2, 3 и т.н.</w:t>
            </w:r>
          </w:p>
          <w:p w14:paraId="748039C7"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Първо се докладва най-добрата категория (или група), след това втората най-добра и т.н. На последно място се докладва категорията или категориите (или групата) на експозициите в неизпълнение. </w:t>
            </w:r>
          </w:p>
        </w:tc>
      </w:tr>
      <w:tr w:rsidR="00FB3D09" w:rsidRPr="004B6DCE" w14:paraId="2E9E255A" w14:textId="77777777" w:rsidTr="00822842">
        <w:tc>
          <w:tcPr>
            <w:tcW w:w="2024" w:type="dxa"/>
          </w:tcPr>
          <w:p w14:paraId="7EBE6354" w14:textId="77777777" w:rsidR="00FB3D09" w:rsidRPr="004B6DCE" w:rsidRDefault="00FB3D09" w:rsidP="00822842">
            <w:pPr>
              <w:rPr>
                <w:rFonts w:ascii="Times New Roman" w:hAnsi="Times New Roman"/>
                <w:sz w:val="24"/>
              </w:rPr>
            </w:pPr>
            <w:r w:rsidRPr="004B6DCE">
              <w:rPr>
                <w:rFonts w:ascii="Times New Roman" w:hAnsi="Times New Roman"/>
                <w:sz w:val="24"/>
              </w:rPr>
              <w:t>0010-0300</w:t>
            </w:r>
          </w:p>
        </w:tc>
        <w:tc>
          <w:tcPr>
            <w:tcW w:w="7804" w:type="dxa"/>
          </w:tcPr>
          <w:p w14:paraId="68F58938"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Указанията за всяка от тези колони са същите, както за съответните номерирани колони в образец CR IRB 1.</w:t>
            </w:r>
          </w:p>
        </w:tc>
      </w:tr>
    </w:tbl>
    <w:p w14:paraId="040BB8C7" w14:textId="77777777" w:rsidR="00FB3D09" w:rsidRPr="004B6DC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4B6DCE" w14:paraId="767C7154" w14:textId="77777777" w:rsidTr="00822842">
        <w:tc>
          <w:tcPr>
            <w:tcW w:w="2024" w:type="dxa"/>
            <w:shd w:val="pct25" w:color="auto" w:fill="auto"/>
          </w:tcPr>
          <w:p w14:paraId="50BC5DEB" w14:textId="77777777" w:rsidR="00FB3D09" w:rsidRPr="004B6DCE" w:rsidRDefault="00FB3D09" w:rsidP="00822842">
            <w:pPr>
              <w:rPr>
                <w:rFonts w:ascii="Times New Roman" w:hAnsi="Times New Roman"/>
                <w:sz w:val="24"/>
              </w:rPr>
            </w:pPr>
            <w:r w:rsidRPr="004B6DCE">
              <w:rPr>
                <w:rFonts w:ascii="Times New Roman" w:hAnsi="Times New Roman"/>
                <w:sz w:val="24"/>
              </w:rPr>
              <w:t>Ред</w:t>
            </w:r>
          </w:p>
        </w:tc>
        <w:tc>
          <w:tcPr>
            <w:tcW w:w="7804" w:type="dxa"/>
            <w:shd w:val="pct25" w:color="auto" w:fill="auto"/>
          </w:tcPr>
          <w:p w14:paraId="656BDFFA"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4253B5F0" w14:textId="77777777" w:rsidTr="00822842">
        <w:tc>
          <w:tcPr>
            <w:tcW w:w="2024" w:type="dxa"/>
          </w:tcPr>
          <w:p w14:paraId="1F1498DB" w14:textId="77777777" w:rsidR="00FB3D09" w:rsidRPr="004B6DCE" w:rsidRDefault="00FB3D09" w:rsidP="00822842">
            <w:pPr>
              <w:rPr>
                <w:rFonts w:ascii="Times New Roman" w:hAnsi="Times New Roman"/>
                <w:sz w:val="24"/>
              </w:rPr>
            </w:pPr>
            <w:r w:rsidRPr="004B6DCE">
              <w:rPr>
                <w:rFonts w:ascii="Times New Roman" w:hAnsi="Times New Roman"/>
                <w:sz w:val="24"/>
              </w:rPr>
              <w:t>0010-0001 – 0010-NNNN</w:t>
            </w:r>
          </w:p>
        </w:tc>
        <w:tc>
          <w:tcPr>
            <w:tcW w:w="7804" w:type="dxa"/>
          </w:tcPr>
          <w:p w14:paraId="7438CE6A" w14:textId="77777777" w:rsidR="00FB3D09" w:rsidRPr="004B6DCE" w:rsidRDefault="00FB3D09" w:rsidP="00822842">
            <w:pPr>
              <w:rPr>
                <w:rFonts w:ascii="Times New Roman" w:hAnsi="Times New Roman"/>
                <w:sz w:val="24"/>
              </w:rPr>
            </w:pPr>
            <w:r w:rsidRPr="004B6DCE">
              <w:rPr>
                <w:rFonts w:ascii="Times New Roman" w:hAnsi="Times New Roman"/>
                <w:sz w:val="24"/>
              </w:rPr>
              <w:t>Докладваните в тези редове стойности се подреждат според вероятността от неизпълнение (PD), определена за категорията или групата длъжници. Вероятността от неизпълнение на длъжниците в неизпълнение е 100</w:t>
            </w:r>
            <w:r w:rsidRPr="004B6DCE">
              <w:t> </w:t>
            </w:r>
            <w:r w:rsidRPr="004B6DCE">
              <w:rPr>
                <w:rFonts w:ascii="Times New Roman" w:hAnsi="Times New Roman"/>
                <w:sz w:val="24"/>
              </w:rPr>
              <w:t>%. Експозициите, при които се прилага алтернативно третиране на обезпеченията на недвижими имоти (прилага се само когато не се използват собствени оценки на загубата при неизпълнение), не се отнасят към вероятността от неизпълнение на длъжника и не се докладват в този образец.</w:t>
            </w:r>
          </w:p>
        </w:tc>
      </w:tr>
    </w:tbl>
    <w:p w14:paraId="207794BA" w14:textId="77777777" w:rsidR="00FB3D09" w:rsidRPr="004B6DCE" w:rsidRDefault="00FB3D09" w:rsidP="00FB3D09">
      <w:pPr>
        <w:pStyle w:val="InstructionsText"/>
      </w:pPr>
    </w:p>
    <w:p w14:paraId="26916390" w14:textId="77777777" w:rsidR="00FB3D09" w:rsidRPr="004B6DC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sidRPr="004B6DCE">
        <w:rPr>
          <w:rFonts w:ascii="Times New Roman" w:hAnsi="Times New Roman"/>
          <w:sz w:val="24"/>
        </w:rPr>
        <w:lastRenderedPageBreak/>
        <w:t>C 08.03 — Кредитен риск и свободни доставки: вътрешнорейтингов поход към капиталовите изисквания (разбивка според диапазона на вероятността от неизпълнение/CR IRB 3)</w:t>
      </w:r>
      <w:bookmarkEnd w:id="103"/>
      <w:bookmarkEnd w:id="104"/>
    </w:p>
    <w:p w14:paraId="32A5436F" w14:textId="77777777" w:rsidR="00FB3D09" w:rsidRPr="004B6DC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sidRPr="004B6DCE">
        <w:rPr>
          <w:rFonts w:ascii="Times New Roman" w:hAnsi="Times New Roman"/>
          <w:sz w:val="24"/>
        </w:rPr>
        <w:t>Общи бележки</w:t>
      </w:r>
      <w:bookmarkEnd w:id="105"/>
      <w:bookmarkEnd w:id="106"/>
    </w:p>
    <w:p w14:paraId="0918D50A" w14:textId="77777777" w:rsidR="00FB3D09" w:rsidRPr="004B6DCE" w:rsidRDefault="00FB3D09" w:rsidP="00FB3D09">
      <w:pPr>
        <w:pStyle w:val="InstructionsText2"/>
        <w:numPr>
          <w:ilvl w:val="0"/>
          <w:numId w:val="0"/>
        </w:numPr>
        <w:ind w:left="993"/>
      </w:pPr>
      <w:r w:rsidRPr="004B6DCE">
        <w:fldChar w:fldCharType="begin"/>
      </w:r>
      <w:r w:rsidRPr="004B6DCE">
        <w:instrText>seq paragraphs</w:instrText>
      </w:r>
      <w:r w:rsidRPr="004B6DCE">
        <w:fldChar w:fldCharType="separate"/>
      </w:r>
      <w:r w:rsidRPr="004B6DCE">
        <w:t>77</w:t>
      </w:r>
      <w:r w:rsidRPr="004B6DCE">
        <w:fldChar w:fldCharType="end"/>
      </w:r>
      <w:r w:rsidRPr="004B6DCE">
        <w:t>. Институциите докладват включената в този образец информация в изпълнение на член 452, буква ж), подточки i) — v) от Регламент (ЕС) № 575/2013, за да предоставят информация за основните параметри, използвани за изчисляване на капиталовите изисквания за вътрешнорейтинговия подход. Докладваната в този образец информация не включва данните за специализираното кредитиране, посочени в член 153, параграф 5 от Регламент (ЕС) № 575/2013, които са включени в образец C 08.06. В този образец не се включват експозициите към кредитен риск от контрагента (трета част, дял II, глава 6 от Регламент (ЕС) № 575/2013).</w:t>
      </w:r>
    </w:p>
    <w:p w14:paraId="18B1A0B3"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sidRPr="004B6DCE">
        <w:rPr>
          <w:rFonts w:ascii="Times New Roman" w:hAnsi="Times New Roman"/>
          <w:sz w:val="24"/>
        </w:rPr>
        <w:t>Указания относно конкретни позиции</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4B6DCE" w14:paraId="1A83A24A" w14:textId="77777777" w:rsidTr="00822842">
        <w:tc>
          <w:tcPr>
            <w:tcW w:w="1188" w:type="dxa"/>
            <w:shd w:val="clear" w:color="auto" w:fill="CCCCCC"/>
          </w:tcPr>
          <w:p w14:paraId="716EB21D" w14:textId="77777777" w:rsidR="00FB3D09" w:rsidRPr="004B6DCE" w:rsidRDefault="00FB3D09" w:rsidP="00822842">
            <w:pPr>
              <w:rPr>
                <w:rFonts w:ascii="Times New Roman" w:hAnsi="Times New Roman"/>
                <w:sz w:val="24"/>
              </w:rPr>
            </w:pPr>
            <w:r w:rsidRPr="004B6DCE">
              <w:rPr>
                <w:rFonts w:ascii="Times New Roman" w:hAnsi="Times New Roman"/>
                <w:sz w:val="24"/>
              </w:rPr>
              <w:t>Колони</w:t>
            </w:r>
          </w:p>
        </w:tc>
        <w:tc>
          <w:tcPr>
            <w:tcW w:w="8843" w:type="dxa"/>
            <w:shd w:val="clear" w:color="auto" w:fill="CCCCCC"/>
          </w:tcPr>
          <w:p w14:paraId="3EB4007D"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4B6DCE" w:rsidRDefault="00FB3D09" w:rsidP="00822842">
            <w:pPr>
              <w:rPr>
                <w:rFonts w:ascii="Times New Roman" w:hAnsi="Times New Roman"/>
                <w:sz w:val="24"/>
              </w:rPr>
            </w:pPr>
            <w:r w:rsidRPr="004B6DCE">
              <w:rPr>
                <w:rFonts w:ascii="Times New Roman" w:hAnsi="Times New Roman"/>
                <w:sz w:val="24"/>
              </w:rPr>
              <w:t>0010</w:t>
            </w:r>
          </w:p>
          <w:p w14:paraId="5AF0F519" w14:textId="77777777" w:rsidR="00FB3D09" w:rsidRPr="004B6DC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БАЛАНСОВИ ЕКСПОЗИЦИИ</w:t>
            </w:r>
          </w:p>
          <w:p w14:paraId="00204A28" w14:textId="77777777" w:rsidR="00FB3D09" w:rsidRPr="004B6DCE" w:rsidRDefault="00FB3D09" w:rsidP="00822842">
            <w:pPr>
              <w:rPr>
                <w:rFonts w:ascii="Times New Roman" w:hAnsi="Times New Roman"/>
                <w:sz w:val="24"/>
              </w:rPr>
            </w:pPr>
            <w:r w:rsidRPr="004B6DCE">
              <w:rPr>
                <w:rFonts w:ascii="Times New Roman" w:hAnsi="Times New Roman"/>
                <w:sz w:val="24"/>
              </w:rPr>
              <w:t>Стойност на експозицията, изчислена в съответствие с член 166, параграф 1 — 7 от Регламент (ЕС) № 575/2013, без да се вземат предвид корекциите за кредитен риск</w:t>
            </w:r>
          </w:p>
        </w:tc>
      </w:tr>
      <w:tr w:rsidR="00FB3D09" w:rsidRPr="004B6DC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4B6DCE" w:rsidRDefault="00FB3D09" w:rsidP="00822842">
            <w:pPr>
              <w:rPr>
                <w:rFonts w:ascii="Times New Roman" w:hAnsi="Times New Roman"/>
                <w:sz w:val="24"/>
              </w:rPr>
            </w:pPr>
            <w:r w:rsidRPr="004B6DC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ЗАДБАЛАНСОВИ ЕКСПОЗИЦИИ ПРЕДИ ПРИЛАГАНЕТО НА КОНВЕРСИОННИТЕ КОЕФИЦИЕНТИ</w:t>
            </w:r>
          </w:p>
          <w:p w14:paraId="55489989" w14:textId="483DFDC9" w:rsidR="00FB3D09" w:rsidRPr="004B6DCE" w:rsidRDefault="00FB3D09" w:rsidP="00822842">
            <w:pPr>
              <w:rPr>
                <w:rFonts w:ascii="Times New Roman" w:hAnsi="Times New Roman"/>
                <w:sz w:val="24"/>
              </w:rPr>
            </w:pPr>
            <w:r w:rsidRPr="004B6DCE">
              <w:rPr>
                <w:rFonts w:ascii="Times New Roman" w:hAnsi="Times New Roman"/>
                <w:sz w:val="24"/>
              </w:rPr>
              <w:t>Стойността на експозицията, изчислена в съответствие с член 166, параграфи 1 — 7 от Регламент (ЕС) № 575/2013, без да се взимат предвид евентуалните корекции за кредитен риск и конверсионни коефициенти, нито собствените оценки или конверсионните коефициенти, посочени в член 166, параграф 8 от Регламент (ЕС) № 575/2013.</w:t>
            </w:r>
          </w:p>
          <w:p w14:paraId="5D37048B" w14:textId="77777777" w:rsidR="00FB3D09" w:rsidRPr="004B6DCE" w:rsidRDefault="00FB3D09" w:rsidP="00822842">
            <w:pPr>
              <w:rPr>
                <w:rFonts w:ascii="Times New Roman" w:hAnsi="Times New Roman"/>
                <w:sz w:val="24"/>
              </w:rPr>
            </w:pPr>
            <w:r w:rsidRPr="004B6DCE">
              <w:rPr>
                <w:rFonts w:ascii="Times New Roman" w:hAnsi="Times New Roman"/>
                <w:sz w:val="24"/>
              </w:rPr>
              <w:t>Задбалансовите експозиции включват всички неусвоени части по поети задължения и всички задбалансови позиции, изброени в приложение I към Регламент (ЕС) № 575/2013.</w:t>
            </w:r>
          </w:p>
        </w:tc>
      </w:tr>
      <w:tr w:rsidR="00FB3D09" w:rsidRPr="004B6DC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4B6DCE" w:rsidRDefault="00FB3D09" w:rsidP="00822842">
            <w:pPr>
              <w:rPr>
                <w:rFonts w:ascii="Times New Roman" w:hAnsi="Times New Roman"/>
                <w:sz w:val="24"/>
              </w:rPr>
            </w:pPr>
            <w:r w:rsidRPr="004B6DC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СРЕДНОПРЕТЕГЛЕНИ ПО ЕКСПОЗИЦИИ КОНВЕРСИОННИ КОЕФИЦИЕНТИ</w:t>
            </w:r>
          </w:p>
          <w:p w14:paraId="69C8E2B0"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За всички експозиции, включени във всеки интервал на фиксираната скала на вероятността от неизпълнение, се докладва средният конверсионен коефициент, използван от институциите при изчисляването на рисково претегления размер на експозициите им, претеглен с докладваните в колона 0020 задбалансови експозиции преди прилагането на конверсионните коефициенти. </w:t>
            </w:r>
          </w:p>
        </w:tc>
      </w:tr>
      <w:tr w:rsidR="00FB3D09" w:rsidRPr="004B6DC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4B6DCE" w:rsidRDefault="00FB3D09" w:rsidP="00822842">
            <w:pPr>
              <w:rPr>
                <w:rFonts w:ascii="Times New Roman" w:hAnsi="Times New Roman"/>
                <w:sz w:val="24"/>
              </w:rPr>
            </w:pPr>
            <w:r w:rsidRPr="004B6DC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СТОЙНОСТ НА ЕКСПОЗИЦИЯТА СЛЕД ПРИЛАГАНЕТО НА КОНВЕРСИОННИТЕ КОЕФИЦИЕНТИ И РЕДУЦИРАНЕ НА КРЕДИТНИЯ РИСК</w:t>
            </w:r>
          </w:p>
          <w:p w14:paraId="416A72EE" w14:textId="77777777" w:rsidR="00FB3D09" w:rsidRPr="004B6DCE" w:rsidRDefault="00FB3D09" w:rsidP="00822842">
            <w:pPr>
              <w:rPr>
                <w:rFonts w:ascii="Times New Roman" w:hAnsi="Times New Roman"/>
                <w:sz w:val="24"/>
              </w:rPr>
            </w:pPr>
            <w:r w:rsidRPr="004B6DCE">
              <w:rPr>
                <w:rFonts w:ascii="Times New Roman" w:hAnsi="Times New Roman"/>
                <w:sz w:val="24"/>
              </w:rPr>
              <w:t>Стойността на експозицията съгласно член 166 от Регламент (ЕС) № 575/2013</w:t>
            </w:r>
          </w:p>
          <w:p w14:paraId="2BC7EF47" w14:textId="0D3DE562" w:rsidR="00FB3D09" w:rsidRPr="004B6DCE" w:rsidRDefault="00FB3D09" w:rsidP="00822842">
            <w:pPr>
              <w:rPr>
                <w:rFonts w:ascii="Times New Roman" w:hAnsi="Times New Roman"/>
                <w:sz w:val="24"/>
              </w:rPr>
            </w:pPr>
            <w:r w:rsidRPr="004B6DCE">
              <w:rPr>
                <w:rFonts w:ascii="Times New Roman" w:hAnsi="Times New Roman"/>
                <w:sz w:val="24"/>
              </w:rPr>
              <w:lastRenderedPageBreak/>
              <w:t>Тази колона включва сумата на стойността на експозицията на балансовите и задбалансовите експозиции след прилагане на конверсионните коефициенти в съответствие с член 166, параграфи 8 и 9 от Регламент (ЕС) № 575/2013 и техниките за редуциране на кредитния риск.</w:t>
            </w:r>
          </w:p>
        </w:tc>
      </w:tr>
      <w:tr w:rsidR="00FB3D09" w:rsidRPr="004B6DC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СРЕДНОПРЕТЕГЛЕНА ПО ЕКСПОЗИЦИИ ВЕРОЯТНОСТ ОТ НЕИЗПЪЛНЕНИЕ (PD) (%)</w:t>
            </w:r>
          </w:p>
          <w:p w14:paraId="4DB9C65C" w14:textId="77777777" w:rsidR="00FB3D09" w:rsidRPr="004B6DCE" w:rsidRDefault="00FB3D09" w:rsidP="00822842">
            <w:pPr>
              <w:rPr>
                <w:rFonts w:ascii="Times New Roman" w:hAnsi="Times New Roman"/>
                <w:sz w:val="24"/>
              </w:rPr>
            </w:pPr>
            <w:r w:rsidRPr="004B6DCE">
              <w:rPr>
                <w:rFonts w:ascii="Times New Roman" w:hAnsi="Times New Roman"/>
                <w:sz w:val="24"/>
              </w:rPr>
              <w:t>За всички експозиции, включени във всеки интервал на фиксираната скала на вероятността от неизпълнение, се докладва средната оценка на вероятността от неизпълнение на всеки длъжник, претеглена с докладваната в колона 0040 стойност на експозицията след прилагането на конверсионните коефициенти и редуциране на кредитния риск.</w:t>
            </w:r>
          </w:p>
          <w:p w14:paraId="6AFB8412"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Тази колона не е необходимо да се попълва за общия размер на всички класове експозиции. </w:t>
            </w:r>
          </w:p>
        </w:tc>
      </w:tr>
      <w:tr w:rsidR="00FB3D09" w:rsidRPr="004B6DC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4B6DCE" w:rsidRDefault="00FB3D09" w:rsidP="00822842">
            <w:pPr>
              <w:rPr>
                <w:rFonts w:ascii="Times New Roman" w:hAnsi="Times New Roman"/>
                <w:sz w:val="24"/>
              </w:rPr>
            </w:pPr>
            <w:r w:rsidRPr="004B6DC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БРОЙ ДЛЪЖНИЦИ</w:t>
            </w:r>
          </w:p>
          <w:p w14:paraId="0F009E63"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Броят на юридическите лица или длъжниците, отнесен към всеки интервал на фиксираната скала на вероятността от неизпълнение. </w:t>
            </w:r>
          </w:p>
          <w:p w14:paraId="25C904A6" w14:textId="77777777" w:rsidR="00FB3D09" w:rsidRPr="004B6DCE" w:rsidRDefault="00FB3D09" w:rsidP="00822842">
            <w:pPr>
              <w:rPr>
                <w:rFonts w:ascii="Times New Roman" w:hAnsi="Times New Roman"/>
                <w:sz w:val="24"/>
              </w:rPr>
            </w:pPr>
            <w:r w:rsidRPr="004B6DCE">
              <w:rPr>
                <w:rFonts w:ascii="Times New Roman" w:hAnsi="Times New Roman"/>
                <w:sz w:val="24"/>
              </w:rPr>
              <w:t>Броят на длъжниците се отчита в съответствие с указанията в колона 0300 от образец C 08.01. Солидарните длъжници се третират по същия начин, както за целите на калибрирането на вероятността от неизпълнение.</w:t>
            </w:r>
          </w:p>
        </w:tc>
      </w:tr>
      <w:tr w:rsidR="00FB3D09" w:rsidRPr="004B6DC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4B6DCE" w:rsidRDefault="00FB3D09" w:rsidP="00822842">
            <w:pPr>
              <w:rPr>
                <w:rFonts w:ascii="Times New Roman" w:hAnsi="Times New Roman"/>
                <w:sz w:val="24"/>
              </w:rPr>
            </w:pPr>
            <w:r w:rsidRPr="004B6DC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СРЕДНОПРЕТЕГЛЕНА ПО ЕКСПОЗИЦИИ ЗАГУБА ПРИ НЕИЗПЪЛНЕНИЕ (LGD) (%)</w:t>
            </w:r>
          </w:p>
          <w:p w14:paraId="64245660" w14:textId="77777777" w:rsidR="00FB3D09" w:rsidRPr="004B6DCE" w:rsidRDefault="00FB3D09" w:rsidP="00822842">
            <w:pPr>
              <w:rPr>
                <w:rFonts w:ascii="Times New Roman" w:hAnsi="Times New Roman"/>
                <w:sz w:val="24"/>
              </w:rPr>
            </w:pPr>
            <w:r w:rsidRPr="004B6DCE">
              <w:rPr>
                <w:rFonts w:ascii="Times New Roman" w:hAnsi="Times New Roman"/>
                <w:sz w:val="24"/>
              </w:rPr>
              <w:t>За всички експозиции, включени във всеки интервал на фиксираната скала на вероятността от неизпълнение, се докладва средната стойност на LGD за всяка експозиция, претеглена с докладваната в колона 0040 стойност на експозицията след прилагането на конверсионните коефициенти и редуциране на кредитния риск.</w:t>
            </w:r>
          </w:p>
          <w:p w14:paraId="61129324" w14:textId="77777777" w:rsidR="00FB3D09" w:rsidRPr="004B6DCE" w:rsidRDefault="00FB3D09" w:rsidP="00822842">
            <w:pPr>
              <w:rPr>
                <w:rFonts w:ascii="Times New Roman" w:hAnsi="Times New Roman"/>
                <w:sz w:val="24"/>
              </w:rPr>
            </w:pPr>
            <w:r w:rsidRPr="004B6DCE">
              <w:rPr>
                <w:rFonts w:ascii="Times New Roman" w:hAnsi="Times New Roman"/>
                <w:sz w:val="24"/>
              </w:rPr>
              <w:t>Докладваната LGD съответства на окончателната оценка на LGD, използвана при изчисляването на рисково претеглените стойности, получени след като е взето предвид въздействието от редуцирането на кредитния риск и неблагоприятни условия, според случая. За експозиции на дребно, обезпечени с недвижими имоти, при докладваната LGD са отразени минималните стойности, посочени в член 164, параграф 4 от Регламент (ЕС) № 575/2013.</w:t>
            </w:r>
          </w:p>
          <w:p w14:paraId="4123D9EA" w14:textId="77777777" w:rsidR="00FB3D09" w:rsidRPr="004B6DCE" w:rsidRDefault="00FB3D09" w:rsidP="00822842">
            <w:pPr>
              <w:rPr>
                <w:rFonts w:ascii="Times New Roman" w:hAnsi="Times New Roman"/>
                <w:sz w:val="24"/>
              </w:rPr>
            </w:pPr>
            <w:r w:rsidRPr="004B6DCE">
              <w:rPr>
                <w:rFonts w:ascii="Times New Roman" w:hAnsi="Times New Roman"/>
                <w:sz w:val="24"/>
              </w:rPr>
              <w:t>За експозициите в неизпълнение по вътрешнорейтингов подход А се вземат предвид разпоредбите по член 181, параграф 1, буква з) от Регламент (ЕС) № 575/2013. Докладваната LGD съответства на оценката на LGD при неизпълнение в съответствие с приложимите методики за оценка.</w:t>
            </w:r>
          </w:p>
          <w:p w14:paraId="176BBB47" w14:textId="77777777" w:rsidR="00FB3D09" w:rsidRPr="004B6DCE" w:rsidRDefault="00FB3D09" w:rsidP="00822842">
            <w:pPr>
              <w:rPr>
                <w:rFonts w:ascii="Times New Roman" w:hAnsi="Times New Roman"/>
                <w:sz w:val="24"/>
              </w:rPr>
            </w:pPr>
            <w:r w:rsidRPr="004B6DCE">
              <w:rPr>
                <w:rFonts w:ascii="Times New Roman" w:hAnsi="Times New Roman"/>
                <w:sz w:val="24"/>
              </w:rPr>
              <w:t>Тази колона не е необходимо да се попълва за общия размер на всички класове експозиции.</w:t>
            </w:r>
          </w:p>
        </w:tc>
      </w:tr>
      <w:tr w:rsidR="00FB3D09" w:rsidRPr="004B6DC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4B6DCE" w:rsidRDefault="00FB3D09" w:rsidP="00822842">
            <w:pPr>
              <w:rPr>
                <w:rFonts w:ascii="Times New Roman" w:hAnsi="Times New Roman"/>
                <w:sz w:val="24"/>
              </w:rPr>
            </w:pPr>
            <w:r w:rsidRPr="004B6DC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СРЕДНОПРЕТЕГЛЕН ПО ЕКСПОЗИЦИИ ПАДЕЖ (ГОДИНИ)</w:t>
            </w:r>
          </w:p>
          <w:p w14:paraId="44C8EC59" w14:textId="77777777" w:rsidR="00FB3D09" w:rsidRPr="004B6DCE" w:rsidRDefault="00FB3D09" w:rsidP="00822842">
            <w:pPr>
              <w:rPr>
                <w:rFonts w:ascii="Times New Roman" w:hAnsi="Times New Roman"/>
                <w:sz w:val="24"/>
              </w:rPr>
            </w:pPr>
            <w:r w:rsidRPr="004B6DCE">
              <w:rPr>
                <w:rFonts w:ascii="Times New Roman" w:hAnsi="Times New Roman"/>
                <w:sz w:val="24"/>
              </w:rPr>
              <w:t>За всички експозиции, включени във всеки интервал на фиксираната скала на вероятността от неизпълнение, се докладва средният падеж на всяка експозиция, претеглен с докладваната в колона 0040 стойност на експозицията след прилагането на конверсионните коефициенти.</w:t>
            </w:r>
          </w:p>
          <w:p w14:paraId="6B1FFBC1"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 xml:space="preserve">Докладваната стойност на падежа се определя в съответствие с член 162 от Регламент (ЕС) № 575/2013. </w:t>
            </w:r>
          </w:p>
          <w:p w14:paraId="450A0AC2" w14:textId="77777777" w:rsidR="00FB3D09" w:rsidRPr="004B6DCE" w:rsidRDefault="00FB3D09" w:rsidP="00822842">
            <w:pPr>
              <w:rPr>
                <w:rFonts w:ascii="Times New Roman" w:hAnsi="Times New Roman"/>
                <w:sz w:val="24"/>
              </w:rPr>
            </w:pPr>
            <w:r w:rsidRPr="004B6DCE">
              <w:rPr>
                <w:rFonts w:ascii="Times New Roman" w:hAnsi="Times New Roman"/>
                <w:sz w:val="24"/>
              </w:rPr>
              <w:t>Средният падеж се докладва в години.</w:t>
            </w:r>
          </w:p>
          <w:p w14:paraId="2D4B80D4" w14:textId="77777777" w:rsidR="00FB3D09" w:rsidRPr="004B6DCE" w:rsidRDefault="00FB3D09" w:rsidP="00822842">
            <w:pPr>
              <w:rPr>
                <w:rFonts w:ascii="Times New Roman" w:hAnsi="Times New Roman"/>
                <w:sz w:val="24"/>
              </w:rPr>
            </w:pPr>
            <w:r w:rsidRPr="004B6DCE">
              <w:rPr>
                <w:rFonts w:ascii="Times New Roman" w:hAnsi="Times New Roman"/>
                <w:sz w:val="24"/>
              </w:rPr>
              <w:t>Данни не се докладват за експозициите, при които падежът не е елемент в изчисляването на рисково претеглените експозиции в съответствие с трета част, дял II, глава 3 от Регламент (ЕС) № 575/2013. Това означава, че тази колона не се попълва за клас „експозиции на дребно“.</w:t>
            </w:r>
          </w:p>
        </w:tc>
      </w:tr>
      <w:tr w:rsidR="00FB3D09" w:rsidRPr="004B6DC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4B6DCE" w:rsidDel="00F079B2" w:rsidRDefault="00FB3D09" w:rsidP="00822842">
            <w:pPr>
              <w:rPr>
                <w:rFonts w:ascii="Times New Roman" w:hAnsi="Times New Roman"/>
                <w:sz w:val="24"/>
              </w:rPr>
            </w:pPr>
            <w:r w:rsidRPr="004B6DCE">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РИСКОВО ПРЕТЕГЛЕН РАЗМЕР НА ЕКСПОЗИЦИИТЕ СЛЕД ПРИЛАГАНЕ НА КОЕФИЦИЕНТИ ЗА ПОДПОМАГАНЕ</w:t>
            </w:r>
          </w:p>
          <w:p w14:paraId="62CEA768" w14:textId="77777777" w:rsidR="00FB3D09" w:rsidRPr="004B6DCE" w:rsidRDefault="00FB3D09" w:rsidP="00822842">
            <w:pPr>
              <w:rPr>
                <w:rFonts w:ascii="Times New Roman" w:hAnsi="Times New Roman"/>
                <w:sz w:val="24"/>
              </w:rPr>
            </w:pPr>
            <w:r w:rsidRPr="004B6DCE">
              <w:rPr>
                <w:rFonts w:ascii="Times New Roman" w:hAnsi="Times New Roman"/>
                <w:sz w:val="24"/>
              </w:rPr>
              <w:t>За експозициите към централни правителства и централни банки, институции и предприятия се оповестява рисково претеглената стойност на експозициите, изчислена в съответствие с член 153, параграфи 1—4; за експозиции на дребно — рисково претегленият размер на експозициите, изчислен в съответствие с член 154 от Регламент (ЕС) № 575/2013.</w:t>
            </w:r>
          </w:p>
          <w:p w14:paraId="2CF926D6"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Посочените в членове 501 и 501а от Регламент (ЕС) № 575/2013 коефициенти за подпомагане на МСП и на финансирането на инфраструктура се взимат предвид. </w:t>
            </w:r>
          </w:p>
        </w:tc>
      </w:tr>
      <w:tr w:rsidR="00FB3D09" w:rsidRPr="004B6DC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4B6DCE" w:rsidRDefault="00FB3D09" w:rsidP="00822842">
            <w:pPr>
              <w:rPr>
                <w:rFonts w:ascii="Times New Roman" w:hAnsi="Times New Roman"/>
                <w:sz w:val="24"/>
              </w:rPr>
            </w:pPr>
            <w:r w:rsidRPr="004B6DC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РАЗМЕР НА ОЧАКВАНАТА ЗАГУБА</w:t>
            </w:r>
          </w:p>
          <w:p w14:paraId="553224A7" w14:textId="77777777" w:rsidR="00FB3D09" w:rsidRPr="004B6DCE" w:rsidRDefault="00FB3D09" w:rsidP="00822842">
            <w:pPr>
              <w:rPr>
                <w:rFonts w:ascii="Times New Roman" w:hAnsi="Times New Roman"/>
                <w:sz w:val="24"/>
              </w:rPr>
            </w:pPr>
            <w:r w:rsidRPr="004B6DCE">
              <w:rPr>
                <w:rFonts w:ascii="Times New Roman" w:hAnsi="Times New Roman"/>
                <w:sz w:val="24"/>
              </w:rPr>
              <w:t>Размерът на очакваната загуба, изчислен в съответствие с член 158 от Регламент (ЕС) № 575/2013</w:t>
            </w:r>
          </w:p>
          <w:p w14:paraId="7FB4F7F3" w14:textId="77777777" w:rsidR="00FB3D09" w:rsidRPr="004B6DCE" w:rsidRDefault="00FB3D09" w:rsidP="00822842">
            <w:pPr>
              <w:rPr>
                <w:rFonts w:ascii="Times New Roman" w:hAnsi="Times New Roman"/>
                <w:sz w:val="24"/>
              </w:rPr>
            </w:pPr>
            <w:r w:rsidRPr="004B6DCE">
              <w:rPr>
                <w:rFonts w:ascii="Times New Roman" w:hAnsi="Times New Roman"/>
                <w:sz w:val="24"/>
              </w:rPr>
              <w:t>Докладваният размер на очакваната загуба се основава на действителните параметри на риска, използвани във вътрешната рейтингова скала, одобрена от съответния компетентен орган.</w:t>
            </w:r>
          </w:p>
        </w:tc>
      </w:tr>
      <w:tr w:rsidR="00FB3D09" w:rsidRPr="004B6DC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4B6DCE" w:rsidRDefault="00FB3D09" w:rsidP="00822842">
            <w:pPr>
              <w:rPr>
                <w:rFonts w:ascii="Times New Roman" w:hAnsi="Times New Roman"/>
                <w:sz w:val="24"/>
              </w:rPr>
            </w:pPr>
            <w:r w:rsidRPr="004B6DC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КОРЕКЦИИ НА СТОЙНОСТТА И ПРОВИЗИИ</w:t>
            </w:r>
          </w:p>
          <w:p w14:paraId="6396EDF4"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Корекции за специфичен и общ кредитен риск в съответствие с Делегиран регламент (ЕС) № 183/2014 на Комисията, допълнителни корекции на стойността в съответствие с членове 34 и 110 от Регламент (ЕС) № 575/2013, както и други намаления на собствените средства във връзка с експозициите, отнесен към всеки интервал на фиксираната скала на вероятността от неизпълнение. </w:t>
            </w:r>
          </w:p>
          <w:p w14:paraId="30338ECC" w14:textId="77777777" w:rsidR="00FB3D09" w:rsidRPr="004B6DCE" w:rsidRDefault="00FB3D09" w:rsidP="00822842">
            <w:pPr>
              <w:rPr>
                <w:rFonts w:ascii="Times New Roman" w:hAnsi="Times New Roman"/>
                <w:sz w:val="24"/>
              </w:rPr>
            </w:pPr>
            <w:r w:rsidRPr="004B6DCE">
              <w:rPr>
                <w:rFonts w:ascii="Times New Roman" w:hAnsi="Times New Roman"/>
                <w:sz w:val="24"/>
              </w:rPr>
              <w:t>Корекциите на стойността и провизиите са взетите предвид при прилагането на член 159 от Регламент (ЕС) № 575/2013.</w:t>
            </w:r>
          </w:p>
          <w:p w14:paraId="44F9E3D4"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Общите провизии се докладват чрез пропорционално отнасяне на сумата според очакваната загуба по различните категории длъжници.  </w:t>
            </w:r>
          </w:p>
        </w:tc>
      </w:tr>
    </w:tbl>
    <w:p w14:paraId="1A4B339F" w14:textId="77777777" w:rsidR="00FB3D09" w:rsidRPr="004B6DC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7679"/>
      </w:tblGrid>
      <w:tr w:rsidR="00FB3D09" w:rsidRPr="004B6DCE" w14:paraId="27D32695" w14:textId="77777777" w:rsidTr="00822842">
        <w:tc>
          <w:tcPr>
            <w:tcW w:w="1271" w:type="dxa"/>
            <w:shd w:val="clear" w:color="auto" w:fill="auto"/>
          </w:tcPr>
          <w:p w14:paraId="52082BD5" w14:textId="77777777" w:rsidR="00FB3D09" w:rsidRPr="004B6DCE" w:rsidRDefault="00FB3D09" w:rsidP="00822842">
            <w:pPr>
              <w:rPr>
                <w:rFonts w:ascii="Times New Roman" w:hAnsi="Times New Roman"/>
                <w:sz w:val="24"/>
              </w:rPr>
            </w:pPr>
            <w:r w:rsidRPr="004B6DCE">
              <w:rPr>
                <w:rFonts w:ascii="Times New Roman" w:hAnsi="Times New Roman"/>
                <w:sz w:val="24"/>
              </w:rPr>
              <w:t>Редове</w:t>
            </w:r>
          </w:p>
        </w:tc>
        <w:tc>
          <w:tcPr>
            <w:tcW w:w="8557" w:type="dxa"/>
            <w:shd w:val="clear" w:color="auto" w:fill="auto"/>
          </w:tcPr>
          <w:p w14:paraId="1E8678C0"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45ADFC09" w14:textId="77777777" w:rsidTr="00822842">
        <w:tc>
          <w:tcPr>
            <w:tcW w:w="1271" w:type="dxa"/>
          </w:tcPr>
          <w:p w14:paraId="6A7BEAE2" w14:textId="77777777" w:rsidR="00FB3D09" w:rsidRPr="004B6DCE" w:rsidRDefault="00FB3D09" w:rsidP="00822842">
            <w:pPr>
              <w:rPr>
                <w:rFonts w:ascii="Times New Roman" w:hAnsi="Times New Roman"/>
                <w:sz w:val="24"/>
              </w:rPr>
            </w:pPr>
            <w:r w:rsidRPr="004B6DCE">
              <w:rPr>
                <w:rFonts w:ascii="Times New Roman" w:hAnsi="Times New Roman"/>
                <w:sz w:val="24"/>
              </w:rPr>
              <w:t>ДИАПАЗОН НА ВЕРОЯТНОСТТА ОТ НЕИЗПЪЛНЕНИЕ (PD)</w:t>
            </w:r>
          </w:p>
        </w:tc>
        <w:tc>
          <w:tcPr>
            <w:tcW w:w="8557" w:type="dxa"/>
          </w:tcPr>
          <w:p w14:paraId="2EEEC841" w14:textId="21B277A7" w:rsidR="00FB3D09" w:rsidRPr="004B6DCE" w:rsidRDefault="00FB3D09" w:rsidP="00822842">
            <w:pPr>
              <w:rPr>
                <w:rFonts w:ascii="Times New Roman" w:hAnsi="Times New Roman"/>
                <w:sz w:val="24"/>
              </w:rPr>
            </w:pPr>
            <w:r w:rsidRPr="004B6DCE">
              <w:rPr>
                <w:rFonts w:ascii="Times New Roman" w:hAnsi="Times New Roman"/>
                <w:sz w:val="24"/>
              </w:rPr>
              <w:t xml:space="preserve">Експозициите се отнасят към подходящия интервал на фиксирания диапазон на вероятността от неизпълнение въз основа на оценката на вероятността от неизпълнение за всеки длъжник, отнесен към този клас експозиции (взима се предвид евентуалният ефект на заместване поради редуциране на кредитния риск). Институциите отнасят експозицията към съответната скала на вероятността от неизпълнение, представена в образеца, като вземат предвид и непрекъснатите скали. Всички </w:t>
            </w:r>
            <w:r w:rsidRPr="004B6DCE">
              <w:rPr>
                <w:rFonts w:ascii="Times New Roman" w:hAnsi="Times New Roman"/>
                <w:sz w:val="24"/>
              </w:rPr>
              <w:lastRenderedPageBreak/>
              <w:t>експозиции в неизпълнение се включват в интервала с вероятността от неизпълнение — 100</w:t>
            </w:r>
            <w:r w:rsidRPr="004B6DCE">
              <w:t> </w:t>
            </w:r>
            <w:r w:rsidRPr="004B6DCE">
              <w:rPr>
                <w:rFonts w:ascii="Times New Roman" w:hAnsi="Times New Roman"/>
                <w:sz w:val="24"/>
              </w:rPr>
              <w:t>%.</w:t>
            </w:r>
          </w:p>
          <w:p w14:paraId="19852B86" w14:textId="77777777" w:rsidR="00FB3D09" w:rsidRPr="004B6DCE" w:rsidRDefault="00FB3D09" w:rsidP="00822842">
            <w:pPr>
              <w:rPr>
                <w:rFonts w:ascii="Times New Roman" w:hAnsi="Times New Roman"/>
                <w:sz w:val="24"/>
              </w:rPr>
            </w:pPr>
          </w:p>
          <w:p w14:paraId="24E37937" w14:textId="77777777" w:rsidR="00FB3D09" w:rsidRPr="004B6DCE" w:rsidRDefault="00FB3D09" w:rsidP="00822842">
            <w:pPr>
              <w:rPr>
                <w:rFonts w:ascii="Times New Roman" w:hAnsi="Times New Roman"/>
                <w:sz w:val="24"/>
              </w:rPr>
            </w:pPr>
            <w:r w:rsidRPr="004B6DCE">
              <w:rPr>
                <w:rFonts w:ascii="Times New Roman" w:hAnsi="Times New Roman"/>
                <w:sz w:val="24"/>
              </w:rPr>
              <w:t>За всеки клас експозиции се докладват {r0170, c0050} и {r0170, c0070}, но не и общият размер на всички класове експозиции.</w:t>
            </w:r>
          </w:p>
        </w:tc>
      </w:tr>
    </w:tbl>
    <w:p w14:paraId="3EAAC2EE" w14:textId="77777777" w:rsidR="00FB3D09" w:rsidRPr="004B6DC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sidRPr="004B6DCE">
        <w:rPr>
          <w:rFonts w:ascii="Times New Roman" w:hAnsi="Times New Roman"/>
          <w:sz w:val="24"/>
        </w:rPr>
        <w:lastRenderedPageBreak/>
        <w:t>C 08.04 — Кредитен риск и свободни доставки: вътрешнорейтингов поход към капиталовите изисквания (отчети за потоците от RWEA/CR IRB 4)</w:t>
      </w:r>
      <w:bookmarkEnd w:id="109"/>
      <w:bookmarkEnd w:id="110"/>
    </w:p>
    <w:p w14:paraId="38050040"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sidRPr="004B6DCE">
        <w:rPr>
          <w:rFonts w:ascii="Times New Roman" w:hAnsi="Times New Roman"/>
          <w:sz w:val="24"/>
        </w:rPr>
        <w:t>Общи бележки</w:t>
      </w:r>
      <w:bookmarkEnd w:id="111"/>
      <w:bookmarkEnd w:id="112"/>
    </w:p>
    <w:p w14:paraId="32E75E48" w14:textId="77777777" w:rsidR="00FB3D09" w:rsidRPr="004B6DCE" w:rsidRDefault="00FB3D09" w:rsidP="00FB3D09">
      <w:pPr>
        <w:pStyle w:val="InstructionsText2"/>
        <w:numPr>
          <w:ilvl w:val="0"/>
          <w:numId w:val="0"/>
        </w:numPr>
        <w:ind w:left="993"/>
      </w:pPr>
      <w:r w:rsidRPr="004B6DCE">
        <w:fldChar w:fldCharType="begin"/>
      </w:r>
      <w:r w:rsidRPr="004B6DCE">
        <w:instrText>seq paragraphs</w:instrText>
      </w:r>
      <w:r w:rsidRPr="004B6DCE">
        <w:fldChar w:fldCharType="separate"/>
      </w:r>
      <w:r w:rsidRPr="004B6DCE">
        <w:t>78</w:t>
      </w:r>
      <w:r w:rsidRPr="004B6DCE">
        <w:fldChar w:fldCharType="end"/>
      </w:r>
      <w:r w:rsidRPr="004B6DCE">
        <w:t>. Институциите докладват информацията, включена в този образец, в изпълнение на член 438, буква з) от Регламент (ЕС) № 575/2013. В този образец не се включват експозициите към кредитен риск от контрагента (трета част, дял II, глава 6 от Регламент (ЕС) № 575/2013).</w:t>
      </w:r>
    </w:p>
    <w:p w14:paraId="7118D17C" w14:textId="77777777" w:rsidR="00FB3D09" w:rsidRPr="004B6DCE" w:rsidRDefault="00FB3D09" w:rsidP="00FB3D09">
      <w:pPr>
        <w:pStyle w:val="InstructionsText2"/>
        <w:numPr>
          <w:ilvl w:val="0"/>
          <w:numId w:val="0"/>
        </w:numPr>
        <w:ind w:left="993"/>
      </w:pPr>
      <w:r w:rsidRPr="004B6DCE">
        <w:fldChar w:fldCharType="begin"/>
      </w:r>
      <w:r w:rsidRPr="004B6DCE">
        <w:instrText xml:space="preserve"> seq paragraphs </w:instrText>
      </w:r>
      <w:r w:rsidRPr="004B6DCE">
        <w:fldChar w:fldCharType="separate"/>
      </w:r>
      <w:r w:rsidRPr="004B6DCE">
        <w:t>79</w:t>
      </w:r>
      <w:r w:rsidRPr="004B6DCE">
        <w:fldChar w:fldCharType="end"/>
      </w:r>
      <w:r w:rsidRPr="004B6DCE">
        <w:t xml:space="preserve">. Институциите докладват потоците от RWEA като промените между рисково претеглените размери на експозициите към референтна дата на докладване и рисково претеглените размери на експозициите към предходната референтна дата на докладване. При тримесечно докладване се докладва към края на тримесечието преди тримесечието на референтната дата на докладване. </w:t>
      </w:r>
    </w:p>
    <w:p w14:paraId="60298060"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sidRPr="004B6DCE">
        <w:rPr>
          <w:rFonts w:ascii="Times New Roman" w:hAnsi="Times New Roman"/>
          <w:sz w:val="24"/>
        </w:rPr>
        <w:t>Указания относно конкретни позиции</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4B6DCE" w14:paraId="0997C591" w14:textId="77777777" w:rsidTr="00822842">
        <w:tc>
          <w:tcPr>
            <w:tcW w:w="1188" w:type="dxa"/>
            <w:tcBorders>
              <w:bottom w:val="single" w:sz="4" w:space="0" w:color="auto"/>
            </w:tcBorders>
            <w:shd w:val="clear" w:color="auto" w:fill="CCCCCC"/>
          </w:tcPr>
          <w:p w14:paraId="332EC64E" w14:textId="77777777" w:rsidR="00FB3D09" w:rsidRPr="004B6DCE" w:rsidRDefault="00FB3D09" w:rsidP="00822842">
            <w:pPr>
              <w:rPr>
                <w:rFonts w:ascii="Times New Roman" w:hAnsi="Times New Roman"/>
                <w:sz w:val="24"/>
              </w:rPr>
            </w:pPr>
            <w:r w:rsidRPr="004B6DCE">
              <w:rPr>
                <w:rFonts w:ascii="Times New Roman" w:hAnsi="Times New Roman"/>
                <w:sz w:val="24"/>
              </w:rPr>
              <w:t>Колона</w:t>
            </w:r>
          </w:p>
        </w:tc>
        <w:tc>
          <w:tcPr>
            <w:tcW w:w="8843" w:type="dxa"/>
            <w:tcBorders>
              <w:bottom w:val="single" w:sz="4" w:space="0" w:color="auto"/>
            </w:tcBorders>
            <w:shd w:val="clear" w:color="auto" w:fill="CCCCCC"/>
          </w:tcPr>
          <w:p w14:paraId="247A799A"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4B6DCE" w:rsidRDefault="00FB3D09" w:rsidP="00822842">
            <w:pPr>
              <w:rPr>
                <w:rFonts w:ascii="Times New Roman" w:hAnsi="Times New Roman"/>
                <w:sz w:val="24"/>
              </w:rPr>
            </w:pPr>
            <w:r w:rsidRPr="004B6DCE">
              <w:rPr>
                <w:rFonts w:ascii="Times New Roman" w:hAnsi="Times New Roman"/>
                <w:sz w:val="24"/>
              </w:rPr>
              <w:t>0010</w:t>
            </w:r>
          </w:p>
          <w:p w14:paraId="2235B055" w14:textId="77777777" w:rsidR="00FB3D09" w:rsidRPr="004B6DC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РИСКОВО ПРЕТЕГЛЕН РАЗМЕР НА ЕКСПОЗИЦИИТЕ</w:t>
            </w:r>
          </w:p>
          <w:p w14:paraId="0E2B39E4" w14:textId="77777777" w:rsidR="00FB3D09" w:rsidRPr="004B6DCE" w:rsidRDefault="00FB3D09" w:rsidP="00822842">
            <w:pPr>
              <w:rPr>
                <w:rFonts w:ascii="Times New Roman" w:hAnsi="Times New Roman"/>
                <w:sz w:val="24"/>
              </w:rPr>
            </w:pPr>
            <w:r w:rsidRPr="004B6DCE">
              <w:rPr>
                <w:rFonts w:ascii="Times New Roman" w:hAnsi="Times New Roman"/>
                <w:sz w:val="24"/>
              </w:rPr>
              <w:t>Общият рисково претеглен размер на експозициите за кредитен риск, изчислен по вътрешнорейтинговия подход, като се вземат предвид коефициенти за подпомагане в съответствие с член 501 и 501а от Регламент (ЕС) № 575/2013.</w:t>
            </w:r>
          </w:p>
        </w:tc>
      </w:tr>
      <w:tr w:rsidR="00FB3D09" w:rsidRPr="004B6DC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4B6DC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4B6DCE" w:rsidRDefault="00FB3D09" w:rsidP="00822842">
            <w:pPr>
              <w:rPr>
                <w:rFonts w:ascii="Times New Roman" w:hAnsi="Times New Roman"/>
                <w:b/>
                <w:sz w:val="24"/>
              </w:rPr>
            </w:pPr>
          </w:p>
        </w:tc>
      </w:tr>
      <w:tr w:rsidR="00FB3D09" w:rsidRPr="004B6DCE" w14:paraId="7ED73005" w14:textId="77777777" w:rsidTr="00822842">
        <w:tc>
          <w:tcPr>
            <w:tcW w:w="1188" w:type="dxa"/>
            <w:shd w:val="clear" w:color="auto" w:fill="CCCCCC"/>
          </w:tcPr>
          <w:p w14:paraId="3BBB0A09" w14:textId="77777777" w:rsidR="00FB3D09" w:rsidRPr="004B6DCE" w:rsidRDefault="00FB3D09" w:rsidP="00822842">
            <w:pPr>
              <w:rPr>
                <w:rFonts w:ascii="Times New Roman" w:hAnsi="Times New Roman"/>
                <w:sz w:val="24"/>
              </w:rPr>
            </w:pPr>
            <w:r w:rsidRPr="004B6DCE">
              <w:rPr>
                <w:rFonts w:ascii="Times New Roman" w:hAnsi="Times New Roman"/>
                <w:sz w:val="24"/>
              </w:rPr>
              <w:t>Редове</w:t>
            </w:r>
          </w:p>
        </w:tc>
        <w:tc>
          <w:tcPr>
            <w:tcW w:w="8843" w:type="dxa"/>
            <w:shd w:val="clear" w:color="auto" w:fill="CCCCCC"/>
          </w:tcPr>
          <w:p w14:paraId="117CE12D"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4B6DCE" w:rsidRDefault="00FB3D09" w:rsidP="00822842">
            <w:pPr>
              <w:rPr>
                <w:rFonts w:ascii="Times New Roman" w:hAnsi="Times New Roman"/>
                <w:sz w:val="24"/>
              </w:rPr>
            </w:pPr>
            <w:r w:rsidRPr="004B6DC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РИСКОВО ПРЕТЕГЛЕН РАЗМЕР НА ЕКСПОЗИЦИИТЕ В КРАЯ НА ПРЕДХОДНИЯ ПЕРИОД НА ДОКЛАДВАНЕ</w:t>
            </w:r>
          </w:p>
          <w:p w14:paraId="1DA9C0B6" w14:textId="77777777" w:rsidR="00FB3D09" w:rsidRPr="004B6DCE" w:rsidRDefault="00FB3D09" w:rsidP="00822842">
            <w:pPr>
              <w:rPr>
                <w:rFonts w:ascii="Times New Roman" w:hAnsi="Times New Roman"/>
                <w:sz w:val="24"/>
              </w:rPr>
            </w:pPr>
            <w:r w:rsidRPr="004B6DCE">
              <w:rPr>
                <w:rFonts w:ascii="Times New Roman" w:hAnsi="Times New Roman"/>
                <w:sz w:val="24"/>
              </w:rPr>
              <w:t>Рисково претеглен размер на експозициите в края на предходния период на докладване след прилагането на коефициенти за подпомагане на МСП и на финансирането на инфраструктура по членове 501 и 501а от Регламент (ЕС) № 575/2013.</w:t>
            </w:r>
          </w:p>
        </w:tc>
      </w:tr>
      <w:tr w:rsidR="00FB3D09" w:rsidRPr="004B6DC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4B6DCE" w:rsidRDefault="00FB3D09" w:rsidP="00822842">
            <w:pPr>
              <w:rPr>
                <w:rFonts w:ascii="Times New Roman" w:hAnsi="Times New Roman"/>
                <w:sz w:val="24"/>
              </w:rPr>
            </w:pPr>
            <w:r w:rsidRPr="004B6DC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РАЗМЕР НА АКТИВИТЕ (+/-)</w:t>
            </w:r>
          </w:p>
          <w:p w14:paraId="1F51764D"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Промяна в рисково претегления размер на експозициите между края на предходния отчетен период и края на текущия отчетен период поради размера на активите, т.е. основни промени в размера и състава на портфейла (включително инициирането на нови стопански дейности и кредити с настъпващ падеж), като се изключват </w:t>
            </w:r>
            <w:r w:rsidRPr="004B6DCE">
              <w:rPr>
                <w:rFonts w:ascii="Times New Roman" w:hAnsi="Times New Roman"/>
                <w:sz w:val="24"/>
              </w:rPr>
              <w:lastRenderedPageBreak/>
              <w:t>промените в размера на портфейла, дължащи се на придобиване и продажба на дружества.</w:t>
            </w:r>
          </w:p>
          <w:p w14:paraId="13341C33" w14:textId="77777777" w:rsidR="00FB3D09" w:rsidRPr="004B6DCE" w:rsidRDefault="00FB3D09" w:rsidP="00822842">
            <w:pPr>
              <w:rPr>
                <w:rFonts w:ascii="Times New Roman" w:hAnsi="Times New Roman"/>
                <w:sz w:val="24"/>
              </w:rPr>
            </w:pPr>
            <w:r w:rsidRPr="004B6DCE">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FB3D09" w:rsidRPr="004B6DC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КАЧЕСТВО НА АКТИВИТЕ (+/-)</w:t>
            </w:r>
          </w:p>
          <w:p w14:paraId="77126645" w14:textId="77777777" w:rsidR="00FB3D09" w:rsidRPr="004B6DCE" w:rsidRDefault="00FB3D09" w:rsidP="00822842">
            <w:pPr>
              <w:rPr>
                <w:rFonts w:ascii="Times New Roman" w:hAnsi="Times New Roman"/>
                <w:sz w:val="24"/>
              </w:rPr>
            </w:pPr>
            <w:r w:rsidRPr="004B6DCE">
              <w:rPr>
                <w:rFonts w:ascii="Times New Roman" w:hAnsi="Times New Roman"/>
                <w:sz w:val="24"/>
              </w:rPr>
              <w:t>Промяна в рисково претегления размер на експозициите между края на предходния период на докладване и края на текущия период на докладване поради качеството на активите, т.е. промени в оцененото качество на активите на институцията поради промени в риска на кредитополучателя, като например промяна на рейтинговата категория или подобно въздействие.</w:t>
            </w:r>
          </w:p>
          <w:p w14:paraId="17EA6F89" w14:textId="77777777" w:rsidR="00FB3D09" w:rsidRPr="004B6DCE" w:rsidRDefault="00FB3D09" w:rsidP="00822842">
            <w:pPr>
              <w:rPr>
                <w:rFonts w:ascii="Times New Roman" w:hAnsi="Times New Roman"/>
                <w:sz w:val="24"/>
              </w:rPr>
            </w:pPr>
            <w:r w:rsidRPr="004B6DCE">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FB3D09" w:rsidRPr="004B6DC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4B6DCE" w:rsidRDefault="00FB3D09" w:rsidP="00822842">
            <w:pPr>
              <w:rPr>
                <w:rFonts w:ascii="Times New Roman" w:hAnsi="Times New Roman"/>
                <w:sz w:val="24"/>
              </w:rPr>
            </w:pPr>
            <w:r w:rsidRPr="004B6DC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АКТУАЛИЗИРАНИЯ НА МОДЕЛА (+/-)</w:t>
            </w:r>
          </w:p>
          <w:p w14:paraId="44A30095" w14:textId="77777777" w:rsidR="00FB3D09" w:rsidRPr="004B6DCE" w:rsidRDefault="00FB3D09" w:rsidP="00822842">
            <w:pPr>
              <w:rPr>
                <w:rFonts w:ascii="Times New Roman" w:hAnsi="Times New Roman"/>
                <w:sz w:val="24"/>
              </w:rPr>
            </w:pPr>
            <w:r w:rsidRPr="004B6DCE">
              <w:rPr>
                <w:rFonts w:ascii="Times New Roman" w:hAnsi="Times New Roman"/>
                <w:sz w:val="24"/>
              </w:rPr>
              <w:t>Промяна в рисково претегления размер на експозициите между края на предходния период на докладване и края на текущия период на докладване поради актуализиране на модела, т.е. промени поради прилагането на нови модели, промени в тези модели, промени в обхвата на модела или промени, целящи отстраняване на слабостите на модела.</w:t>
            </w:r>
          </w:p>
          <w:p w14:paraId="3C5A3011" w14:textId="77777777" w:rsidR="00FB3D09" w:rsidRPr="004B6DCE" w:rsidRDefault="00FB3D09" w:rsidP="00822842">
            <w:pPr>
              <w:rPr>
                <w:rFonts w:ascii="Times New Roman" w:hAnsi="Times New Roman"/>
                <w:sz w:val="24"/>
              </w:rPr>
            </w:pPr>
            <w:r w:rsidRPr="004B6DCE">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FB3D09" w:rsidRPr="004B6DC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4B6DCE" w:rsidRDefault="00FB3D09" w:rsidP="00822842">
            <w:pPr>
              <w:rPr>
                <w:rFonts w:ascii="Times New Roman" w:hAnsi="Times New Roman"/>
                <w:sz w:val="24"/>
              </w:rPr>
            </w:pPr>
            <w:r w:rsidRPr="004B6DC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МЕТОДИКА И ПОЛИТИКА (+/-)</w:t>
            </w:r>
          </w:p>
          <w:p w14:paraId="630D0C5E"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Промяна в рисково претегления размер на експозициите между края на предходния период на докладване и края на текущия период на докладване поради промени в методиката и политиката, т.е. промени, дължащи се на методологични изменения в изчисленията, предизвикани от промени на регулаторната политика, включително преразглеждания на съществуващи разпоредби и нови разпоредби, с изключение на промени в моделите, които са включени в ред 0040 </w:t>
            </w:r>
          </w:p>
          <w:p w14:paraId="06A06D42" w14:textId="77777777" w:rsidR="00FB3D09" w:rsidRPr="004B6DCE" w:rsidRDefault="00FB3D09" w:rsidP="00822842">
            <w:pPr>
              <w:rPr>
                <w:rFonts w:ascii="Times New Roman" w:hAnsi="Times New Roman"/>
                <w:sz w:val="24"/>
              </w:rPr>
            </w:pPr>
            <w:r w:rsidRPr="004B6DCE">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FB3D09" w:rsidRPr="004B6DC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4B6DCE" w:rsidRDefault="00FB3D09" w:rsidP="00822842">
            <w:pPr>
              <w:rPr>
                <w:rFonts w:ascii="Times New Roman" w:hAnsi="Times New Roman"/>
                <w:sz w:val="24"/>
              </w:rPr>
            </w:pPr>
            <w:r w:rsidRPr="004B6DC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ПРИДОБИВАНИЯ И ПРОДАЖБИ (+/-)</w:t>
            </w:r>
          </w:p>
          <w:p w14:paraId="3CDAAB15" w14:textId="77777777" w:rsidR="00FB3D09" w:rsidRPr="004B6DCE" w:rsidRDefault="00FB3D09" w:rsidP="00822842">
            <w:pPr>
              <w:rPr>
                <w:rFonts w:ascii="Times New Roman" w:hAnsi="Times New Roman"/>
                <w:sz w:val="24"/>
              </w:rPr>
            </w:pPr>
            <w:r w:rsidRPr="004B6DCE">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придобивания и продажби, т.е. промени в размера на портфейла, дължащи се на придобиване и продажба на дружества.</w:t>
            </w:r>
          </w:p>
          <w:p w14:paraId="2BE224B0" w14:textId="77777777" w:rsidR="00FB3D09" w:rsidRPr="004B6DCE" w:rsidRDefault="00FB3D09" w:rsidP="00822842">
            <w:pPr>
              <w:rPr>
                <w:rFonts w:ascii="Times New Roman" w:hAnsi="Times New Roman"/>
                <w:sz w:val="24"/>
              </w:rPr>
            </w:pPr>
            <w:r w:rsidRPr="004B6DCE">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FB3D09" w:rsidRPr="004B6DC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4B6DCE" w:rsidRDefault="00FB3D09" w:rsidP="00822842">
            <w:pPr>
              <w:rPr>
                <w:rFonts w:ascii="Times New Roman" w:hAnsi="Times New Roman"/>
                <w:sz w:val="24"/>
              </w:rPr>
            </w:pPr>
            <w:r w:rsidRPr="004B6DC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ИЗМЕНЕНИЯ НА ВАЛУТНИТЕ КУРСОВЕ (+/-)</w:t>
            </w:r>
          </w:p>
          <w:p w14:paraId="5F574A4B" w14:textId="77777777" w:rsidR="00FB3D09" w:rsidRPr="004B6DCE" w:rsidRDefault="00FB3D09" w:rsidP="00822842">
            <w:pPr>
              <w:rPr>
                <w:rFonts w:ascii="Times New Roman" w:hAnsi="Times New Roman"/>
                <w:sz w:val="24"/>
              </w:rPr>
            </w:pPr>
            <w:r w:rsidRPr="004B6DCE">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изменения на валутните курсове, т.е. промени, предизвикани от движение на валутните курсове.</w:t>
            </w:r>
          </w:p>
          <w:p w14:paraId="32C9FB56"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Увеличението на рисково претегления размер на експозициите се докладва като положителна, а намалението — като отрицателна стойност.</w:t>
            </w:r>
          </w:p>
        </w:tc>
      </w:tr>
      <w:tr w:rsidR="00FB3D09" w:rsidRPr="004B6DC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ДРУГИ (+/-)</w:t>
            </w:r>
          </w:p>
          <w:p w14:paraId="5F09C0BA" w14:textId="77777777" w:rsidR="00FB3D09" w:rsidRPr="004B6DCE" w:rsidRDefault="00FB3D09" w:rsidP="00822842">
            <w:pPr>
              <w:rPr>
                <w:rFonts w:ascii="Times New Roman" w:hAnsi="Times New Roman"/>
                <w:sz w:val="24"/>
              </w:rPr>
            </w:pPr>
            <w:r w:rsidRPr="004B6DCE">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други фактори.</w:t>
            </w:r>
          </w:p>
          <w:p w14:paraId="14338D91"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Тази категория се използва за промени, които не могат да бъдат отнесени към никоя друга категория. </w:t>
            </w:r>
          </w:p>
          <w:p w14:paraId="18CAC008" w14:textId="77777777" w:rsidR="00FB3D09" w:rsidRPr="004B6DCE" w:rsidRDefault="00FB3D09" w:rsidP="00822842">
            <w:pPr>
              <w:rPr>
                <w:rFonts w:ascii="Times New Roman" w:hAnsi="Times New Roman"/>
                <w:sz w:val="24"/>
              </w:rPr>
            </w:pPr>
            <w:r w:rsidRPr="004B6DCE">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FB3D09" w:rsidRPr="004B6DC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4B6DCE" w:rsidRDefault="00FB3D09" w:rsidP="00822842">
            <w:pPr>
              <w:rPr>
                <w:rFonts w:ascii="Times New Roman" w:hAnsi="Times New Roman"/>
                <w:sz w:val="24"/>
              </w:rPr>
            </w:pPr>
            <w:r w:rsidRPr="004B6DC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РИСКОВО ПРЕТЕГЛЕН РАЗМЕР НА ЕКСПОЗИЦИИТЕ В КРАЯ НА ПЕРИОДА НА ДОКЛАДВАНЕ</w:t>
            </w:r>
          </w:p>
          <w:p w14:paraId="1FFEC50C" w14:textId="77777777" w:rsidR="00FB3D09" w:rsidRPr="004B6DCE" w:rsidRDefault="00FB3D09" w:rsidP="00822842">
            <w:pPr>
              <w:pStyle w:val="CommentText"/>
            </w:pPr>
            <w:r w:rsidRPr="004B6DCE">
              <w:rPr>
                <w:rFonts w:ascii="Times New Roman" w:hAnsi="Times New Roman"/>
                <w:sz w:val="24"/>
              </w:rPr>
              <w:t>Рисково претегленият размер на експозициите през периода на докладване след прилагането на коефициенти за подпомагане на МСП и на финансирането на инфраструктура по членове 501 и 501а от Регламент (ЕС) № 575/2013.</w:t>
            </w:r>
          </w:p>
        </w:tc>
      </w:tr>
    </w:tbl>
    <w:p w14:paraId="49993E55" w14:textId="77777777" w:rsidR="00FB3D09" w:rsidRPr="004B6DC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sidRPr="004B6DCE">
        <w:rPr>
          <w:rFonts w:ascii="Times New Roman" w:hAnsi="Times New Roman"/>
          <w:sz w:val="24"/>
        </w:rPr>
        <w:t>C 08.05 — Кредитен риск и свободни доставки: вътрешнорейтингов поход към капиталовите изисквания (бек-тестове на вероятността от неизпълнение/CR IRB 5)</w:t>
      </w:r>
      <w:bookmarkEnd w:id="115"/>
      <w:bookmarkEnd w:id="116"/>
    </w:p>
    <w:p w14:paraId="16F92F14"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sidRPr="004B6DCE">
        <w:rPr>
          <w:rFonts w:ascii="Times New Roman" w:hAnsi="Times New Roman"/>
          <w:sz w:val="24"/>
        </w:rPr>
        <w:t>Общи бележки</w:t>
      </w:r>
      <w:bookmarkEnd w:id="117"/>
      <w:bookmarkEnd w:id="118"/>
    </w:p>
    <w:p w14:paraId="708FD0D4" w14:textId="77777777" w:rsidR="00FB3D09" w:rsidRPr="004B6DCE" w:rsidRDefault="00FB3D09" w:rsidP="00FB3D09">
      <w:pPr>
        <w:pStyle w:val="InstructionsText2"/>
        <w:numPr>
          <w:ilvl w:val="0"/>
          <w:numId w:val="0"/>
        </w:numPr>
        <w:ind w:left="993"/>
      </w:pPr>
      <w:r w:rsidRPr="004B6DCE">
        <w:fldChar w:fldCharType="begin"/>
      </w:r>
      <w:r w:rsidRPr="004B6DCE">
        <w:instrText>seq paragraphs</w:instrText>
      </w:r>
      <w:r w:rsidRPr="004B6DCE">
        <w:fldChar w:fldCharType="separate"/>
      </w:r>
      <w:r w:rsidRPr="004B6DCE">
        <w:t>80</w:t>
      </w:r>
      <w:r w:rsidRPr="004B6DCE">
        <w:fldChar w:fldCharType="end"/>
      </w:r>
      <w:r w:rsidRPr="004B6DCE">
        <w:t>. Институциите докладват информацията, включена в този образец, в изпълнение на член 452, буква з) от Регламент (ЕС) № 575/2013. Институцията разглежда моделите, използвани в рамките на всеки клас експозиции, и обяснява процента на рисково претеглените експозиции на съответния клас експозиции, обхванати от моделите, за които тук се докладват резултатите от бек-тестовете. В този образец не се включват експозициите към кредитен риск от контрагента (трета част, дял II, глава 6 от Регламент (ЕС) № 575/2013).</w:t>
      </w:r>
    </w:p>
    <w:p w14:paraId="584B488E"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sidRPr="004B6DCE">
        <w:rPr>
          <w:rFonts w:ascii="Times New Roman" w:hAnsi="Times New Roman"/>
          <w:sz w:val="24"/>
        </w:rPr>
        <w:t>Указания относно конкретни позиции</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4B6DCE" w14:paraId="768D8734" w14:textId="77777777" w:rsidTr="00822842">
        <w:tc>
          <w:tcPr>
            <w:tcW w:w="1188" w:type="dxa"/>
            <w:shd w:val="clear" w:color="auto" w:fill="CCCCCC"/>
          </w:tcPr>
          <w:p w14:paraId="5B2B4D05" w14:textId="77777777" w:rsidR="00FB3D09" w:rsidRPr="004B6DCE" w:rsidRDefault="00FB3D09" w:rsidP="00822842">
            <w:pPr>
              <w:rPr>
                <w:rFonts w:ascii="Times New Roman" w:hAnsi="Times New Roman"/>
                <w:sz w:val="24"/>
              </w:rPr>
            </w:pPr>
            <w:r w:rsidRPr="004B6DCE">
              <w:rPr>
                <w:rFonts w:ascii="Times New Roman" w:hAnsi="Times New Roman"/>
                <w:sz w:val="24"/>
              </w:rPr>
              <w:t>Колони</w:t>
            </w:r>
          </w:p>
        </w:tc>
        <w:tc>
          <w:tcPr>
            <w:tcW w:w="8843" w:type="dxa"/>
            <w:shd w:val="clear" w:color="auto" w:fill="CCCCCC"/>
          </w:tcPr>
          <w:p w14:paraId="2736A610"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4B6DCE" w:rsidRDefault="00FB3D09" w:rsidP="00822842">
            <w:pPr>
              <w:rPr>
                <w:rFonts w:ascii="Times New Roman" w:hAnsi="Times New Roman"/>
                <w:sz w:val="24"/>
              </w:rPr>
            </w:pPr>
            <w:r w:rsidRPr="004B6DC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СРЕДНОАРИТМЕТИЧНА СТОЙНОСТ НА PD (%)</w:t>
            </w:r>
          </w:p>
          <w:p w14:paraId="369D866D" w14:textId="77777777" w:rsidR="00FB3D09" w:rsidRPr="004B6DCE" w:rsidRDefault="00FB3D09" w:rsidP="00822842">
            <w:pPr>
              <w:rPr>
                <w:rFonts w:ascii="Times New Roman" w:hAnsi="Times New Roman"/>
                <w:b/>
                <w:sz w:val="24"/>
              </w:rPr>
            </w:pPr>
            <w:r w:rsidRPr="004B6DCE">
              <w:rPr>
                <w:rFonts w:ascii="Times New Roman" w:hAnsi="Times New Roman"/>
                <w:sz w:val="24"/>
              </w:rPr>
              <w:t>Средноаритметична стойност на вероятността от неизпълнение в началото на периода на докладване на длъжниците, попадащи в интервал на фиксираната скала на вероятността от неизпълнение и отчетени в колона 0020 (среднопретеглена спрямо броя на длъжниците)</w:t>
            </w:r>
          </w:p>
        </w:tc>
      </w:tr>
      <w:tr w:rsidR="00FB3D09" w:rsidRPr="004B6DC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4B6DCE" w:rsidRDefault="00FB3D09" w:rsidP="00822842">
            <w:pPr>
              <w:rPr>
                <w:rFonts w:ascii="Times New Roman" w:hAnsi="Times New Roman"/>
                <w:sz w:val="24"/>
              </w:rPr>
            </w:pPr>
            <w:r w:rsidRPr="004B6DC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БРОЙ ДЛЪЖНИЦИ В КРАЯ НА ПРЕДХОДНАТА ГОДИНА</w:t>
            </w:r>
          </w:p>
          <w:p w14:paraId="1D7F3DCC"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Броят на длъжниците в края на предходната година, подлежащи на докладване. </w:t>
            </w:r>
          </w:p>
          <w:p w14:paraId="35726FB6"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Включват се всички длъжници с кредитни задължения към съответния момент. </w:t>
            </w:r>
          </w:p>
          <w:p w14:paraId="0234603A"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Броят на длъжниците се отчита в съответствие с указанията в колона 0300 от образец C 08.01. Солидарните длъжници се третират по същия начин, както за целите на калибрирането на вероятността от неизпълнение.</w:t>
            </w:r>
          </w:p>
        </w:tc>
      </w:tr>
      <w:tr w:rsidR="00FB3D09" w:rsidRPr="004B6DC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В Т.Ч.: ИЗПАДНАЛИ В НЕИЗПЪЛНЕНИЕ ПРЕЗ ГОДИНАТА</w:t>
            </w:r>
          </w:p>
          <w:p w14:paraId="62E6E1C3" w14:textId="77777777" w:rsidR="00FB3D09" w:rsidRPr="004B6DCE" w:rsidRDefault="00FB3D09" w:rsidP="00822842">
            <w:pPr>
              <w:autoSpaceDE w:val="0"/>
              <w:autoSpaceDN w:val="0"/>
              <w:adjustRightInd w:val="0"/>
              <w:rPr>
                <w:rFonts w:ascii="Times New Roman" w:hAnsi="Times New Roman"/>
                <w:sz w:val="24"/>
              </w:rPr>
            </w:pPr>
            <w:r w:rsidRPr="004B6DCE">
              <w:rPr>
                <w:rFonts w:ascii="Times New Roman" w:hAnsi="Times New Roman"/>
                <w:sz w:val="24"/>
              </w:rPr>
              <w:t xml:space="preserve">Брой на длъжниците, изпаднали в неизпълнение през годината (т.е. периодът на наблюдение за изчисляването на процента на неизпълнение) </w:t>
            </w:r>
          </w:p>
          <w:p w14:paraId="4E6FF3A5" w14:textId="77777777" w:rsidR="00FB3D09" w:rsidRPr="004B6DCE" w:rsidRDefault="00FB3D09" w:rsidP="00822842">
            <w:pPr>
              <w:autoSpaceDE w:val="0"/>
              <w:autoSpaceDN w:val="0"/>
              <w:adjustRightInd w:val="0"/>
              <w:rPr>
                <w:rFonts w:ascii="Times New Roman" w:hAnsi="Times New Roman"/>
                <w:sz w:val="24"/>
              </w:rPr>
            </w:pPr>
            <w:r w:rsidRPr="004B6DCE">
              <w:rPr>
                <w:rFonts w:ascii="Times New Roman" w:hAnsi="Times New Roman"/>
                <w:sz w:val="24"/>
              </w:rPr>
              <w:t xml:space="preserve">Случаите на неизпълнение се определят в съответствие с член 178 от Регламент (ЕС) № 575/2013. </w:t>
            </w:r>
          </w:p>
          <w:p w14:paraId="37E2D9CF" w14:textId="77777777" w:rsidR="00FB3D09" w:rsidRPr="004B6DCE" w:rsidRDefault="00FB3D09" w:rsidP="00822842">
            <w:pPr>
              <w:rPr>
                <w:rFonts w:ascii="Times New Roman" w:hAnsi="Times New Roman"/>
                <w:b/>
                <w:sz w:val="24"/>
                <w:u w:val="single"/>
              </w:rPr>
            </w:pPr>
            <w:r w:rsidRPr="004B6DCE">
              <w:rPr>
                <w:rFonts w:ascii="Times New Roman" w:hAnsi="Times New Roman"/>
                <w:sz w:val="24"/>
              </w:rPr>
              <w:t>Всеки длъжник в неизпълнение се отчита само веднъж в числителя и знаменателя при изчисляването на годишния процент на неизпълнение, дори ако длъжникът е изпаднал повече от веднъж в неизпълнение през съответния едногодишен период.</w:t>
            </w:r>
          </w:p>
        </w:tc>
      </w:tr>
      <w:tr w:rsidR="00FB3D09" w:rsidRPr="004B6DC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4B6DCE" w:rsidRDefault="00FB3D09" w:rsidP="00822842">
            <w:pPr>
              <w:rPr>
                <w:rFonts w:ascii="Times New Roman" w:hAnsi="Times New Roman"/>
                <w:sz w:val="24"/>
              </w:rPr>
            </w:pPr>
            <w:r w:rsidRPr="004B6DC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НАБЛЮДАВАН СРЕДЕН ПРОЦЕНТ НА НЕИЗПЪЛНЕНИЕ (%)</w:t>
            </w:r>
          </w:p>
          <w:p w14:paraId="2D64742F" w14:textId="77777777" w:rsidR="00FB3D09" w:rsidRPr="004B6DCE" w:rsidRDefault="00FB3D09" w:rsidP="00822842">
            <w:pPr>
              <w:autoSpaceDE w:val="0"/>
              <w:autoSpaceDN w:val="0"/>
              <w:adjustRightInd w:val="0"/>
              <w:rPr>
                <w:rFonts w:ascii="Times New Roman" w:hAnsi="Times New Roman"/>
                <w:sz w:val="24"/>
              </w:rPr>
            </w:pPr>
            <w:r w:rsidRPr="004B6DCE">
              <w:rPr>
                <w:rFonts w:ascii="Times New Roman" w:hAnsi="Times New Roman"/>
                <w:sz w:val="24"/>
              </w:rPr>
              <w:t>Процентът на неизпълнение за една година, посочен в член 4, параграф 1, точка 78 от Регламент (ЕС) № 575/2013</w:t>
            </w:r>
          </w:p>
          <w:p w14:paraId="01C9FA62" w14:textId="77777777" w:rsidR="00FB3D09" w:rsidRPr="004B6DCE" w:rsidRDefault="00FB3D09" w:rsidP="00822842">
            <w:pPr>
              <w:autoSpaceDE w:val="0"/>
              <w:autoSpaceDN w:val="0"/>
              <w:adjustRightInd w:val="0"/>
              <w:rPr>
                <w:rFonts w:ascii="Times New Roman" w:hAnsi="Times New Roman"/>
                <w:sz w:val="24"/>
              </w:rPr>
            </w:pPr>
            <w:r w:rsidRPr="004B6DCE">
              <w:rPr>
                <w:rFonts w:ascii="Times New Roman" w:hAnsi="Times New Roman"/>
                <w:sz w:val="24"/>
              </w:rPr>
              <w:t>Институциите гарантират, че:</w:t>
            </w:r>
          </w:p>
          <w:p w14:paraId="3C9723C5" w14:textId="77777777" w:rsidR="00FB3D09" w:rsidRPr="004B6DCE" w:rsidRDefault="00FB3D09" w:rsidP="00822842">
            <w:pPr>
              <w:autoSpaceDE w:val="0"/>
              <w:autoSpaceDN w:val="0"/>
              <w:adjustRightInd w:val="0"/>
              <w:rPr>
                <w:rFonts w:ascii="Times New Roman" w:hAnsi="Times New Roman"/>
                <w:sz w:val="24"/>
              </w:rPr>
            </w:pPr>
            <w:r w:rsidRPr="004B6DCE">
              <w:rPr>
                <w:rFonts w:ascii="Times New Roman" w:hAnsi="Times New Roman"/>
                <w:sz w:val="24"/>
              </w:rPr>
              <w:t>а) знаменателят се състои от броя на длъжниците, които не са в неизпълнение, с кредитни задължения в началото на едногодишния период на наблюдение (т.е. началото на годината преди референтната дата на докладване); в този контекст кредитно задължение се отнася до следното: i) всяка балансова позиция, в т.ч. размера на главницата, лихвите и таксите; ii) всички задбалансови позиции, включително гаранции, издадени от институцията като гарант.</w:t>
            </w:r>
          </w:p>
          <w:p w14:paraId="0D440FD1" w14:textId="415B9093" w:rsidR="00FB3D09" w:rsidRPr="004B6DCE" w:rsidRDefault="00AF5AA0" w:rsidP="00822842">
            <w:pPr>
              <w:rPr>
                <w:rFonts w:ascii="Times New Roman" w:hAnsi="Times New Roman"/>
                <w:sz w:val="24"/>
              </w:rPr>
            </w:pPr>
            <w:r w:rsidRPr="004B6DCE">
              <w:rPr>
                <w:rFonts w:ascii="Times New Roman" w:hAnsi="Times New Roman"/>
                <w:sz w:val="24"/>
              </w:rPr>
              <w:t>б</w:t>
            </w:r>
            <w:r w:rsidR="00FB3D09" w:rsidRPr="004B6DCE">
              <w:rPr>
                <w:rFonts w:ascii="Times New Roman" w:hAnsi="Times New Roman"/>
                <w:sz w:val="24"/>
              </w:rPr>
              <w:t>) в числителя се включват всички отчетени в знаменателя длъжници, при които е имало неизпълнение поне веднъж в рамките на едногодишния период на наблюдение (годината преди референтната дата на докладване).</w:t>
            </w:r>
          </w:p>
          <w:p w14:paraId="071F87D7" w14:textId="77777777" w:rsidR="00FB3D09" w:rsidRPr="004B6DCE" w:rsidRDefault="00FB3D09" w:rsidP="00822842">
            <w:pPr>
              <w:rPr>
                <w:rFonts w:ascii="Times New Roman" w:hAnsi="Times New Roman"/>
                <w:sz w:val="24"/>
              </w:rPr>
            </w:pPr>
            <w:r w:rsidRPr="004B6DCE">
              <w:rPr>
                <w:rFonts w:ascii="Times New Roman" w:hAnsi="Times New Roman"/>
                <w:sz w:val="24"/>
              </w:rPr>
              <w:t>Във връзка с изчисляването на броя на длъжниците вж. колона 0300 от образец C 08.01.</w:t>
            </w:r>
          </w:p>
        </w:tc>
      </w:tr>
      <w:tr w:rsidR="00FB3D09" w:rsidRPr="004B6DC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4B6DCE" w:rsidRDefault="00FB3D09" w:rsidP="00822842">
            <w:pPr>
              <w:rPr>
                <w:rFonts w:ascii="Times New Roman" w:hAnsi="Times New Roman"/>
                <w:sz w:val="24"/>
              </w:rPr>
            </w:pPr>
            <w:r w:rsidRPr="004B6DC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4B6DCE" w:rsidRDefault="00FB3D09" w:rsidP="00822842">
            <w:pPr>
              <w:rPr>
                <w:rFonts w:ascii="Times New Roman" w:hAnsi="Times New Roman"/>
                <w:sz w:val="24"/>
                <w:u w:val="single"/>
              </w:rPr>
            </w:pPr>
            <w:r w:rsidRPr="004B6DCE">
              <w:rPr>
                <w:rFonts w:ascii="Times New Roman" w:hAnsi="Times New Roman"/>
                <w:b/>
                <w:sz w:val="24"/>
                <w:u w:val="single"/>
              </w:rPr>
              <w:t>СРЕДНОГОДИШЕН ПРОЦЕНТ НА НЕИЗПЪЛНЕНИЕ ЗА ПРЕДХОДЕН ПЕРИОД (%)</w:t>
            </w:r>
          </w:p>
          <w:p w14:paraId="584459CD" w14:textId="77777777" w:rsidR="00FB3D09" w:rsidRPr="004B6DCE" w:rsidRDefault="00FB3D09" w:rsidP="00822842">
            <w:pPr>
              <w:rPr>
                <w:rFonts w:ascii="Times New Roman" w:hAnsi="Times New Roman"/>
                <w:sz w:val="24"/>
              </w:rPr>
            </w:pPr>
            <w:r w:rsidRPr="004B6DCE">
              <w:rPr>
                <w:rFonts w:ascii="Times New Roman" w:hAnsi="Times New Roman"/>
                <w:sz w:val="24"/>
              </w:rPr>
              <w:t>Средната стойност на процента на неизпълнение най-малко за последните пет години (длъжници в началото на всяка година, при които е имало неизпълнение през същата година / общ брой на длъжниците в началото на годината). Институцията може да използва по-дълъг предходен период, който отговаря на действителните ѝ практики за управление на риска.</w:t>
            </w:r>
          </w:p>
        </w:tc>
      </w:tr>
    </w:tbl>
    <w:p w14:paraId="1BEF1A20" w14:textId="77777777" w:rsidR="00FB3D09" w:rsidRPr="004B6DC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7679"/>
      </w:tblGrid>
      <w:tr w:rsidR="00FB3D09" w:rsidRPr="004B6DCE" w14:paraId="1B84D0E8" w14:textId="77777777" w:rsidTr="00822842">
        <w:tc>
          <w:tcPr>
            <w:tcW w:w="1271" w:type="dxa"/>
            <w:shd w:val="clear" w:color="auto" w:fill="auto"/>
          </w:tcPr>
          <w:p w14:paraId="3EC9FD04" w14:textId="77777777" w:rsidR="00FB3D09" w:rsidRPr="004B6DCE" w:rsidRDefault="00FB3D09" w:rsidP="00822842">
            <w:pPr>
              <w:rPr>
                <w:rFonts w:ascii="Times New Roman" w:hAnsi="Times New Roman"/>
                <w:sz w:val="24"/>
              </w:rPr>
            </w:pPr>
            <w:r w:rsidRPr="004B6DCE">
              <w:rPr>
                <w:rFonts w:ascii="Times New Roman" w:hAnsi="Times New Roman"/>
                <w:sz w:val="24"/>
              </w:rPr>
              <w:t>Редове</w:t>
            </w:r>
          </w:p>
        </w:tc>
        <w:tc>
          <w:tcPr>
            <w:tcW w:w="8557" w:type="dxa"/>
            <w:shd w:val="clear" w:color="auto" w:fill="auto"/>
          </w:tcPr>
          <w:p w14:paraId="65FC4F8D"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3C8ED033" w14:textId="77777777" w:rsidTr="00822842">
        <w:tc>
          <w:tcPr>
            <w:tcW w:w="1271" w:type="dxa"/>
          </w:tcPr>
          <w:p w14:paraId="514F1159" w14:textId="77777777" w:rsidR="00FB3D09" w:rsidRPr="004B6DCE" w:rsidRDefault="00FB3D09" w:rsidP="00822842">
            <w:pPr>
              <w:rPr>
                <w:rFonts w:ascii="Times New Roman" w:hAnsi="Times New Roman"/>
                <w:sz w:val="24"/>
              </w:rPr>
            </w:pPr>
            <w:r w:rsidRPr="004B6DCE">
              <w:rPr>
                <w:rFonts w:ascii="Times New Roman" w:hAnsi="Times New Roman"/>
                <w:sz w:val="24"/>
              </w:rPr>
              <w:t>ДИАПАЗОН НА ВЕРОЯТНОСТТА ОТ НЕИЗПЪЛНЕНИЕ (PD)</w:t>
            </w:r>
          </w:p>
        </w:tc>
        <w:tc>
          <w:tcPr>
            <w:tcW w:w="8557" w:type="dxa"/>
          </w:tcPr>
          <w:p w14:paraId="61595E98" w14:textId="56A50A6C" w:rsidR="00FB3D09" w:rsidRPr="004B6DCE" w:rsidRDefault="00FB3D09" w:rsidP="00822842">
            <w:pPr>
              <w:rPr>
                <w:rFonts w:ascii="Times New Roman" w:hAnsi="Times New Roman"/>
                <w:sz w:val="24"/>
              </w:rPr>
            </w:pPr>
            <w:r w:rsidRPr="004B6DCE">
              <w:rPr>
                <w:rFonts w:ascii="Times New Roman" w:hAnsi="Times New Roman"/>
                <w:sz w:val="24"/>
              </w:rPr>
              <w:t xml:space="preserve">Експозициите се отнасят към подходящия интервал на фиксирания диапазон на вероятността от неизпълнение въз основа на оценката на вероятността от неизпълнение в началото на периода на докладване за всеки длъжник, отнесена към този клас експозиции (взима се предвид евентуалният ефект на заместване поради редуциране на кредитния риск). Институциите отнасят експозицията към съответната скала на </w:t>
            </w:r>
            <w:r w:rsidRPr="004B6DCE">
              <w:rPr>
                <w:rFonts w:ascii="Times New Roman" w:hAnsi="Times New Roman"/>
                <w:sz w:val="24"/>
              </w:rPr>
              <w:lastRenderedPageBreak/>
              <w:t>вероятността от неизпълнение, представена в образеца, като вземат предвид и непрекъснатите скали. Всички експозиции в неизпълнение се включват в интервала с вероятността от неизпълнение — 100</w:t>
            </w:r>
            <w:r w:rsidRPr="004B6DCE">
              <w:t> </w:t>
            </w:r>
            <w:r w:rsidRPr="004B6DCE">
              <w:rPr>
                <w:rFonts w:ascii="Times New Roman" w:hAnsi="Times New Roman"/>
                <w:sz w:val="24"/>
              </w:rPr>
              <w:t>%.</w:t>
            </w:r>
          </w:p>
        </w:tc>
      </w:tr>
    </w:tbl>
    <w:p w14:paraId="4DD60C58" w14:textId="77777777" w:rsidR="00FB3D09" w:rsidRPr="004B6DC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sidRPr="004B6DCE">
        <w:rPr>
          <w:rFonts w:ascii="Times New Roman" w:hAnsi="Times New Roman"/>
          <w:sz w:val="24"/>
        </w:rPr>
        <w:lastRenderedPageBreak/>
        <w:t>C 08.05.1 — Кредитен риск и свободни доставки: Вътрешнорейтингов подход към капиталовите изисквания: Бек-тестове на вероятността от неизпълнение в съответствие с член 180, параграф 1, буква е) от Регламент (ЕС) № 575/2013 (CR IRB 5B)</w:t>
      </w:r>
      <w:bookmarkEnd w:id="121"/>
      <w:bookmarkEnd w:id="122"/>
    </w:p>
    <w:p w14:paraId="27A46150"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sidRPr="004B6DCE">
        <w:rPr>
          <w:rFonts w:ascii="Times New Roman" w:hAnsi="Times New Roman"/>
          <w:sz w:val="24"/>
        </w:rPr>
        <w:t>Указания относно конкретни позиции</w:t>
      </w:r>
      <w:bookmarkEnd w:id="123"/>
      <w:bookmarkEnd w:id="124"/>
    </w:p>
    <w:p w14:paraId="68360FA1" w14:textId="77777777" w:rsidR="00FB3D09" w:rsidRPr="004B6DCE" w:rsidRDefault="00FB3D09" w:rsidP="00FB3D09">
      <w:pPr>
        <w:pStyle w:val="InstructionsText2"/>
        <w:numPr>
          <w:ilvl w:val="0"/>
          <w:numId w:val="0"/>
        </w:numPr>
        <w:ind w:left="993"/>
      </w:pPr>
      <w:r w:rsidRPr="004B6DCE">
        <w:fldChar w:fldCharType="begin"/>
      </w:r>
      <w:r w:rsidRPr="004B6DCE">
        <w:instrText>seq paragraphs</w:instrText>
      </w:r>
      <w:r w:rsidRPr="004B6DCE">
        <w:fldChar w:fldCharType="separate"/>
      </w:r>
      <w:r w:rsidRPr="004B6DCE">
        <w:t>81</w:t>
      </w:r>
      <w:r w:rsidRPr="004B6DCE">
        <w:fldChar w:fldCharType="end"/>
      </w:r>
      <w:r w:rsidRPr="004B6DCE">
        <w:t>. В допълнение към образец C 08.05 институциите докладват информацията, включена в образец C 08.05.1, в случай че прилагат член 180, параграф 1, буква е) от Регламент (ЕС) № 575/2013 за оценката на вероятността от неизпълнение и само за оценките на вероятността от неизпълнение в съответствие със същия член. Прилагат се същите указания като за образец C 08.05 със следните изключения: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4B6DCE" w14:paraId="1E2F3B8E" w14:textId="77777777" w:rsidTr="00822842">
        <w:tc>
          <w:tcPr>
            <w:tcW w:w="1188" w:type="dxa"/>
            <w:shd w:val="clear" w:color="auto" w:fill="CCCCCC"/>
          </w:tcPr>
          <w:p w14:paraId="7D027DF5" w14:textId="77777777" w:rsidR="00FB3D09" w:rsidRPr="004B6DCE" w:rsidRDefault="00FB3D09" w:rsidP="00822842">
            <w:pPr>
              <w:rPr>
                <w:rFonts w:ascii="Times New Roman" w:hAnsi="Times New Roman"/>
                <w:sz w:val="24"/>
              </w:rPr>
            </w:pPr>
            <w:r w:rsidRPr="004B6DCE">
              <w:rPr>
                <w:rFonts w:ascii="Times New Roman" w:hAnsi="Times New Roman"/>
                <w:sz w:val="24"/>
              </w:rPr>
              <w:t>Колони</w:t>
            </w:r>
          </w:p>
        </w:tc>
        <w:tc>
          <w:tcPr>
            <w:tcW w:w="8843" w:type="dxa"/>
            <w:shd w:val="clear" w:color="auto" w:fill="CCCCCC"/>
          </w:tcPr>
          <w:p w14:paraId="63A7247A"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528697BD" w14:textId="77777777" w:rsidTr="00822842">
        <w:tc>
          <w:tcPr>
            <w:tcW w:w="1188" w:type="dxa"/>
            <w:shd w:val="clear" w:color="auto" w:fill="auto"/>
          </w:tcPr>
          <w:p w14:paraId="150C8B42" w14:textId="77777777" w:rsidR="00FB3D09" w:rsidRPr="004B6DCE" w:rsidRDefault="00FB3D09" w:rsidP="00822842">
            <w:pPr>
              <w:rPr>
                <w:rFonts w:ascii="Times New Roman" w:hAnsi="Times New Roman"/>
                <w:sz w:val="24"/>
              </w:rPr>
            </w:pPr>
            <w:r w:rsidRPr="004B6DCE">
              <w:rPr>
                <w:rFonts w:ascii="Times New Roman" w:hAnsi="Times New Roman"/>
                <w:sz w:val="24"/>
              </w:rPr>
              <w:t>0005</w:t>
            </w:r>
          </w:p>
        </w:tc>
        <w:tc>
          <w:tcPr>
            <w:tcW w:w="8843" w:type="dxa"/>
            <w:shd w:val="clear" w:color="auto" w:fill="auto"/>
          </w:tcPr>
          <w:p w14:paraId="1D472032"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ДИАПАЗОН НА ВЕРОЯТНОСТТА ОТ НЕИЗПЪЛНЕНИЕ (PD)</w:t>
            </w:r>
          </w:p>
          <w:p w14:paraId="4CAAE100" w14:textId="77777777" w:rsidR="00FB3D09" w:rsidRPr="004B6DCE" w:rsidRDefault="00FB3D09" w:rsidP="00822842">
            <w:pPr>
              <w:rPr>
                <w:rFonts w:ascii="Times New Roman" w:hAnsi="Times New Roman"/>
                <w:sz w:val="24"/>
              </w:rPr>
            </w:pPr>
            <w:r w:rsidRPr="004B6DCE">
              <w:rPr>
                <w:rFonts w:ascii="Times New Roman" w:hAnsi="Times New Roman"/>
                <w:sz w:val="24"/>
              </w:rPr>
              <w:t>Институциите докладват диапазоните на вероятността от неизпълнение според вътрешните си категории, които отнасят към скалата, използвана от външната АВКО, вместо според фиксирания външен диапазон на вероятността от неизпълнение.</w:t>
            </w:r>
          </w:p>
        </w:tc>
      </w:tr>
      <w:tr w:rsidR="00FB3D09" w:rsidRPr="004B6DCE" w14:paraId="64D00DA7" w14:textId="77777777" w:rsidTr="00822842">
        <w:tc>
          <w:tcPr>
            <w:tcW w:w="1188" w:type="dxa"/>
            <w:shd w:val="clear" w:color="auto" w:fill="auto"/>
          </w:tcPr>
          <w:p w14:paraId="1078063B" w14:textId="77777777" w:rsidR="00FB3D09" w:rsidRPr="004B6DCE" w:rsidRDefault="00FB3D09" w:rsidP="00822842">
            <w:pPr>
              <w:rPr>
                <w:rFonts w:ascii="Times New Roman" w:hAnsi="Times New Roman"/>
                <w:sz w:val="24"/>
              </w:rPr>
            </w:pPr>
            <w:r w:rsidRPr="004B6DCE">
              <w:rPr>
                <w:rFonts w:ascii="Times New Roman" w:hAnsi="Times New Roman"/>
                <w:sz w:val="24"/>
              </w:rPr>
              <w:t>0006</w:t>
            </w:r>
          </w:p>
        </w:tc>
        <w:tc>
          <w:tcPr>
            <w:tcW w:w="8843" w:type="dxa"/>
            <w:shd w:val="clear" w:color="auto" w:fill="auto"/>
          </w:tcPr>
          <w:p w14:paraId="6793AD5E"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ВЪНШНОРЕЙТИНГОВ ЕКВИВАЛЕНТ</w:t>
            </w:r>
          </w:p>
          <w:p w14:paraId="276EE83C" w14:textId="77777777" w:rsidR="00FB3D09" w:rsidRPr="004B6DCE" w:rsidRDefault="00FB3D09" w:rsidP="00822842">
            <w:pPr>
              <w:rPr>
                <w:rFonts w:ascii="Times New Roman" w:hAnsi="Times New Roman"/>
                <w:sz w:val="24"/>
              </w:rPr>
            </w:pPr>
            <w:r w:rsidRPr="004B6DCE">
              <w:rPr>
                <w:rFonts w:ascii="Times New Roman" w:hAnsi="Times New Roman"/>
                <w:sz w:val="24"/>
              </w:rPr>
              <w:t>Институциите докладват по една колона за всяка АВКО, разглеждана съгласно член 180, параграф 1, буква е) от Регламент (ЕС) № 575/2013. Институциите включват в тези колони външния рейтинг, към който са отнесени вътрешните им диапазони на вероятността от неизпълнение.</w:t>
            </w:r>
          </w:p>
        </w:tc>
      </w:tr>
    </w:tbl>
    <w:p w14:paraId="1CA8A0ED" w14:textId="77777777" w:rsidR="00FB3D09" w:rsidRPr="004B6DC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sidRPr="004B6DCE">
        <w:rPr>
          <w:rFonts w:ascii="Times New Roman" w:hAnsi="Times New Roman"/>
          <w:sz w:val="24"/>
        </w:rPr>
        <w:t>C 08.06 — Кредитен риск и свободни доставки: вътрешнорейтингов поход към капиталовите изисквания (разграничителен подход във връзка със специализираното кредитиране/CR IRB 6)</w:t>
      </w:r>
      <w:bookmarkEnd w:id="125"/>
      <w:bookmarkEnd w:id="126"/>
    </w:p>
    <w:p w14:paraId="0C327519"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sidRPr="004B6DCE">
        <w:rPr>
          <w:rFonts w:ascii="Times New Roman" w:hAnsi="Times New Roman"/>
          <w:sz w:val="24"/>
        </w:rPr>
        <w:t>Общи бележки</w:t>
      </w:r>
      <w:bookmarkEnd w:id="127"/>
      <w:bookmarkEnd w:id="128"/>
    </w:p>
    <w:p w14:paraId="06C30120" w14:textId="77777777" w:rsidR="00FB3D09" w:rsidRPr="004B6DCE" w:rsidRDefault="00FB3D09" w:rsidP="00FB3D09">
      <w:pPr>
        <w:pStyle w:val="InstructionsText2"/>
        <w:numPr>
          <w:ilvl w:val="0"/>
          <w:numId w:val="0"/>
        </w:numPr>
        <w:ind w:left="993"/>
      </w:pPr>
      <w:r w:rsidRPr="004B6DCE">
        <w:fldChar w:fldCharType="begin"/>
      </w:r>
      <w:r w:rsidRPr="004B6DCE">
        <w:instrText>seq paragraphs</w:instrText>
      </w:r>
      <w:r w:rsidRPr="004B6DCE">
        <w:fldChar w:fldCharType="separate"/>
      </w:r>
      <w:r w:rsidRPr="004B6DCE">
        <w:t>82</w:t>
      </w:r>
      <w:r w:rsidRPr="004B6DCE">
        <w:fldChar w:fldCharType="end"/>
      </w:r>
      <w:r w:rsidRPr="004B6DCE">
        <w:t>. Институциите докладват информацията, включена в този образец, в изпълнение на член 438, буква д) от Регламент (ЕС) № 575/2013. Институциите докладват информация за следните видове експозиции по специализирано кредитиране, посочени в член 153, параграф 5, таблица 1:</w:t>
      </w:r>
    </w:p>
    <w:p w14:paraId="020ECF38" w14:textId="77777777" w:rsidR="00FB3D09" w:rsidRPr="004B6DCE" w:rsidRDefault="00FB3D09" w:rsidP="00FB3D09">
      <w:pPr>
        <w:pStyle w:val="InstructionsText2"/>
        <w:numPr>
          <w:ilvl w:val="0"/>
          <w:numId w:val="0"/>
        </w:numPr>
        <w:ind w:left="1080"/>
      </w:pPr>
      <w:r w:rsidRPr="004B6DCE">
        <w:t>Финансиране на проекти</w:t>
      </w:r>
    </w:p>
    <w:p w14:paraId="0D30395D" w14:textId="77777777" w:rsidR="00FB3D09" w:rsidRPr="004B6DCE" w:rsidRDefault="00FB3D09" w:rsidP="00FB3D09">
      <w:pPr>
        <w:pStyle w:val="InstructionsText2"/>
        <w:numPr>
          <w:ilvl w:val="0"/>
          <w:numId w:val="0"/>
        </w:numPr>
        <w:ind w:left="1080"/>
      </w:pPr>
      <w:r w:rsidRPr="004B6DCE">
        <w:t>Доходоносни недвижими имоти и търговски недвижими имоти с висока променливост</w:t>
      </w:r>
    </w:p>
    <w:p w14:paraId="0E156A19" w14:textId="77777777" w:rsidR="00FB3D09" w:rsidRPr="004B6DCE" w:rsidRDefault="00FB3D09" w:rsidP="00FB3D09">
      <w:pPr>
        <w:pStyle w:val="InstructionsText2"/>
        <w:numPr>
          <w:ilvl w:val="0"/>
          <w:numId w:val="0"/>
        </w:numPr>
        <w:ind w:left="1080"/>
      </w:pPr>
      <w:r w:rsidRPr="004B6DCE">
        <w:t>Финансиране на обекти</w:t>
      </w:r>
    </w:p>
    <w:p w14:paraId="66940C39" w14:textId="77777777" w:rsidR="00FB3D09" w:rsidRPr="004B6DCE" w:rsidRDefault="00FB3D09" w:rsidP="00FB3D09">
      <w:pPr>
        <w:pStyle w:val="InstructionsText2"/>
        <w:numPr>
          <w:ilvl w:val="1"/>
          <w:numId w:val="15"/>
        </w:numPr>
      </w:pPr>
      <w:r w:rsidRPr="004B6DCE">
        <w:lastRenderedPageBreak/>
        <w:t>Финансиране на стоки</w:t>
      </w:r>
    </w:p>
    <w:p w14:paraId="58A5DEC7"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sidRPr="004B6DCE">
        <w:rPr>
          <w:rFonts w:ascii="Times New Roman" w:hAnsi="Times New Roman"/>
          <w:sz w:val="24"/>
        </w:rPr>
        <w:t>Указания относно конкретни позиции</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4B6DCE" w14:paraId="7D26FD2B" w14:textId="77777777" w:rsidTr="00822842">
        <w:tc>
          <w:tcPr>
            <w:tcW w:w="1188" w:type="dxa"/>
            <w:shd w:val="clear" w:color="auto" w:fill="CCCCCC"/>
          </w:tcPr>
          <w:p w14:paraId="6E606862" w14:textId="77777777" w:rsidR="00FB3D09" w:rsidRPr="004B6DCE" w:rsidRDefault="00FB3D09" w:rsidP="00822842">
            <w:pPr>
              <w:rPr>
                <w:rFonts w:ascii="Times New Roman" w:hAnsi="Times New Roman"/>
                <w:sz w:val="24"/>
              </w:rPr>
            </w:pPr>
            <w:r w:rsidRPr="004B6DCE">
              <w:rPr>
                <w:rFonts w:ascii="Times New Roman" w:hAnsi="Times New Roman"/>
                <w:sz w:val="24"/>
              </w:rPr>
              <w:t>Колони</w:t>
            </w:r>
          </w:p>
        </w:tc>
        <w:tc>
          <w:tcPr>
            <w:tcW w:w="8843" w:type="dxa"/>
            <w:shd w:val="clear" w:color="auto" w:fill="CCCCCC"/>
          </w:tcPr>
          <w:p w14:paraId="03916D9E"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ПЪРВОНАЧАЛНА ЕКСПОЗИЦИЯ ПРЕДИ ПРИЛАГАНЕТО НА КОНВЕРСИОННИТЕ КОЕФИЦИЕНТИ</w:t>
            </w:r>
          </w:p>
          <w:p w14:paraId="3FEAA5A3" w14:textId="77777777" w:rsidR="00FB3D09" w:rsidRPr="004B6DCE" w:rsidRDefault="00FB3D09" w:rsidP="00822842">
            <w:pPr>
              <w:rPr>
                <w:rFonts w:ascii="Times New Roman" w:hAnsi="Times New Roman"/>
                <w:sz w:val="24"/>
              </w:rPr>
            </w:pPr>
            <w:r w:rsidRPr="004B6DCE">
              <w:rPr>
                <w:rFonts w:ascii="Times New Roman" w:hAnsi="Times New Roman"/>
                <w:sz w:val="24"/>
              </w:rPr>
              <w:t>Вж. указанията за CR-IRB.</w:t>
            </w:r>
          </w:p>
        </w:tc>
      </w:tr>
      <w:tr w:rsidR="00FB3D09" w:rsidRPr="004B6DC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4B6DCE" w:rsidRDefault="00FB3D09" w:rsidP="00822842">
            <w:pPr>
              <w:rPr>
                <w:rFonts w:ascii="Times New Roman" w:hAnsi="Times New Roman"/>
                <w:sz w:val="24"/>
              </w:rPr>
            </w:pPr>
            <w:r w:rsidRPr="004B6DC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ЕКСПОЗИЦИЯ СЛЕД ЕФЕКТА НА ЗАМЕСТВАНЕ ПОРАДИ РЕДУЦИРАНЕ НА КРЕДИТНИЯ РИСК И ПРЕДИ ПРИЛАГАНЕ НА КОНВЕРСИОННИТЕ КОЕФИЦИЕНТИ</w:t>
            </w:r>
          </w:p>
          <w:p w14:paraId="6CBD0B35" w14:textId="77777777" w:rsidR="00FB3D09" w:rsidRPr="004B6DCE" w:rsidRDefault="00FB3D09" w:rsidP="00822842">
            <w:pPr>
              <w:rPr>
                <w:rFonts w:ascii="Times New Roman" w:hAnsi="Times New Roman"/>
                <w:sz w:val="24"/>
              </w:rPr>
            </w:pPr>
            <w:r w:rsidRPr="004B6DCE">
              <w:rPr>
                <w:rFonts w:ascii="Times New Roman" w:hAnsi="Times New Roman"/>
                <w:sz w:val="24"/>
              </w:rPr>
              <w:t>Вж. указанията за CR-IRB.</w:t>
            </w:r>
          </w:p>
        </w:tc>
      </w:tr>
      <w:tr w:rsidR="00FB3D09" w:rsidRPr="004B6DC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4B6DCE" w:rsidRDefault="00FB3D09" w:rsidP="00822842">
            <w:pPr>
              <w:rPr>
                <w:rFonts w:ascii="Times New Roman" w:hAnsi="Times New Roman"/>
                <w:sz w:val="24"/>
              </w:rPr>
            </w:pPr>
            <w:r w:rsidRPr="004B6DCE">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4B6DCE" w:rsidRDefault="00FB3D09" w:rsidP="00822842">
            <w:pPr>
              <w:rPr>
                <w:rStyle w:val="InstructionsTabelleberschrift"/>
                <w:rFonts w:ascii="Times New Roman" w:hAnsi="Times New Roman"/>
                <w:bCs w:val="0"/>
                <w:sz w:val="24"/>
              </w:rPr>
            </w:pPr>
            <w:r w:rsidRPr="004B6DCE">
              <w:rPr>
                <w:rStyle w:val="InstructionsTabelleberschrift"/>
                <w:rFonts w:ascii="Times New Roman" w:hAnsi="Times New Roman"/>
                <w:sz w:val="24"/>
              </w:rPr>
              <w:t xml:space="preserve">В Т.Ч.: ЗАДБАЛАНСОВИ ПОЗИЦИИ </w:t>
            </w:r>
          </w:p>
          <w:p w14:paraId="34DD8D87" w14:textId="77777777" w:rsidR="00FB3D09" w:rsidRPr="004B6DCE" w:rsidRDefault="00FB3D09" w:rsidP="00822842">
            <w:pPr>
              <w:rPr>
                <w:rFonts w:ascii="Times New Roman" w:hAnsi="Times New Roman"/>
                <w:sz w:val="24"/>
              </w:rPr>
            </w:pPr>
            <w:r w:rsidRPr="004B6DCE">
              <w:rPr>
                <w:rFonts w:ascii="Times New Roman" w:hAnsi="Times New Roman"/>
                <w:sz w:val="24"/>
              </w:rPr>
              <w:t>Вж. указанията за CR-SA.</w:t>
            </w:r>
          </w:p>
        </w:tc>
      </w:tr>
      <w:tr w:rsidR="00FB3D09" w:rsidRPr="004B6DC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4B6DCE" w:rsidRDefault="00FB3D09" w:rsidP="00822842">
            <w:pPr>
              <w:rPr>
                <w:rFonts w:ascii="Times New Roman" w:hAnsi="Times New Roman"/>
                <w:sz w:val="24"/>
              </w:rPr>
            </w:pPr>
            <w:r w:rsidRPr="004B6DC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СТОЙНОСТ НА ЕКСПОЗИЦИЯТА</w:t>
            </w:r>
          </w:p>
          <w:p w14:paraId="4F68F714" w14:textId="77777777" w:rsidR="00FB3D09" w:rsidRPr="004B6DCE" w:rsidRDefault="00FB3D09" w:rsidP="00822842">
            <w:pPr>
              <w:rPr>
                <w:rFonts w:ascii="Times New Roman" w:hAnsi="Times New Roman"/>
                <w:sz w:val="24"/>
              </w:rPr>
            </w:pPr>
            <w:r w:rsidRPr="004B6DCE">
              <w:rPr>
                <w:rFonts w:ascii="Times New Roman" w:hAnsi="Times New Roman"/>
                <w:sz w:val="24"/>
              </w:rPr>
              <w:t>Вж. указанията за CR-IRB.</w:t>
            </w:r>
          </w:p>
        </w:tc>
      </w:tr>
      <w:tr w:rsidR="00FB3D09" w:rsidRPr="004B6DC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4B6DCE" w:rsidRDefault="00FB3D09" w:rsidP="00822842">
            <w:pPr>
              <w:rPr>
                <w:rFonts w:ascii="Times New Roman" w:hAnsi="Times New Roman"/>
                <w:sz w:val="24"/>
              </w:rPr>
            </w:pPr>
            <w:r w:rsidRPr="004B6DC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4B6DCE" w:rsidRDefault="00FB3D09" w:rsidP="00822842">
            <w:pPr>
              <w:rPr>
                <w:rStyle w:val="InstructionsTabelleberschrift"/>
                <w:rFonts w:ascii="Times New Roman" w:hAnsi="Times New Roman"/>
                <w:bCs w:val="0"/>
                <w:sz w:val="24"/>
              </w:rPr>
            </w:pPr>
            <w:r w:rsidRPr="004B6DCE">
              <w:rPr>
                <w:rStyle w:val="InstructionsTabelleberschrift"/>
                <w:rFonts w:ascii="Times New Roman" w:hAnsi="Times New Roman"/>
                <w:sz w:val="24"/>
              </w:rPr>
              <w:t xml:space="preserve">В Т.Ч.: ПРОИЗТИЧАЩА ОТ КРЕДИТНИЯ РИСК ОТ КОНТРАГЕНТА </w:t>
            </w:r>
          </w:p>
          <w:p w14:paraId="416635B7" w14:textId="77777777" w:rsidR="00FB3D09" w:rsidRPr="004B6DCE" w:rsidRDefault="00FB3D09" w:rsidP="00822842">
            <w:pPr>
              <w:rPr>
                <w:rFonts w:ascii="Times New Roman" w:hAnsi="Times New Roman"/>
                <w:sz w:val="24"/>
              </w:rPr>
            </w:pPr>
            <w:r w:rsidRPr="004B6DCE">
              <w:rPr>
                <w:rFonts w:ascii="Times New Roman" w:hAnsi="Times New Roman"/>
                <w:sz w:val="24"/>
              </w:rPr>
              <w:t>Вж. указанията за CR SA.</w:t>
            </w:r>
            <w:r w:rsidRPr="004B6DCE">
              <w:rPr>
                <w:rStyle w:val="InstructionsTabelleText"/>
                <w:rFonts w:ascii="Times New Roman" w:hAnsi="Times New Roman"/>
                <w:sz w:val="24"/>
              </w:rPr>
              <w:t xml:space="preserve"> </w:t>
            </w:r>
          </w:p>
        </w:tc>
      </w:tr>
      <w:tr w:rsidR="00FB3D09" w:rsidRPr="004B6DC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4B6DCE" w:rsidRDefault="00FB3D09" w:rsidP="00822842">
            <w:pPr>
              <w:rPr>
                <w:rFonts w:ascii="Times New Roman" w:hAnsi="Times New Roman"/>
                <w:sz w:val="24"/>
              </w:rPr>
            </w:pPr>
            <w:r w:rsidRPr="004B6DC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РИСКОВО ТЕГЛО</w:t>
            </w:r>
          </w:p>
          <w:p w14:paraId="5C41EA78" w14:textId="77777777" w:rsidR="00FB3D09" w:rsidRPr="004B6DCE" w:rsidRDefault="00FB3D09" w:rsidP="00822842">
            <w:pPr>
              <w:rPr>
                <w:rFonts w:ascii="Times New Roman" w:hAnsi="Times New Roman"/>
                <w:sz w:val="24"/>
              </w:rPr>
            </w:pPr>
            <w:r w:rsidRPr="004B6DCE">
              <w:rPr>
                <w:rFonts w:ascii="Times New Roman" w:hAnsi="Times New Roman"/>
                <w:sz w:val="24"/>
              </w:rPr>
              <w:t>член 153, параграф 5 от Регламент (ЕС) № 575/2013</w:t>
            </w:r>
          </w:p>
          <w:p w14:paraId="67CCD5DB" w14:textId="77777777" w:rsidR="00FB3D09" w:rsidRPr="004B6DCE" w:rsidRDefault="00FB3D09" w:rsidP="00822842">
            <w:pPr>
              <w:rPr>
                <w:rFonts w:ascii="Times New Roman" w:hAnsi="Times New Roman"/>
                <w:sz w:val="24"/>
              </w:rPr>
            </w:pPr>
            <w:r w:rsidRPr="004B6DCE">
              <w:rPr>
                <w:rFonts w:ascii="Times New Roman" w:hAnsi="Times New Roman"/>
                <w:sz w:val="24"/>
              </w:rPr>
              <w:t xml:space="preserve">Тази колона е фиксирана с информативна цел. Тя не може да бъде променяна. </w:t>
            </w:r>
          </w:p>
        </w:tc>
      </w:tr>
      <w:tr w:rsidR="00FB3D09" w:rsidRPr="004B6DC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4B6DCE" w:rsidRDefault="00FB3D09" w:rsidP="00822842">
            <w:pPr>
              <w:rPr>
                <w:rFonts w:ascii="Times New Roman" w:hAnsi="Times New Roman"/>
                <w:sz w:val="24"/>
              </w:rPr>
            </w:pPr>
            <w:r w:rsidRPr="004B6DC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РИСКОВО ПРЕТЕГЛЕН РАЗМЕР НА ЕКСПОЗИЦИИТЕ СЛЕД ПРИЛАГАНЕ НА КОЕФИЦИЕНТИ ЗА ПОДПОМАГАНЕ</w:t>
            </w:r>
          </w:p>
          <w:p w14:paraId="4B6C2EA5" w14:textId="77777777" w:rsidR="00FB3D09" w:rsidRPr="004B6DCE" w:rsidRDefault="00FB3D09" w:rsidP="00822842">
            <w:pPr>
              <w:rPr>
                <w:rFonts w:ascii="Times New Roman" w:hAnsi="Times New Roman"/>
                <w:b/>
                <w:sz w:val="24"/>
              </w:rPr>
            </w:pPr>
            <w:r w:rsidRPr="004B6DCE">
              <w:rPr>
                <w:rFonts w:ascii="Times New Roman" w:hAnsi="Times New Roman"/>
                <w:sz w:val="24"/>
              </w:rPr>
              <w:t>Вж. указанията за CR-IRB.</w:t>
            </w:r>
          </w:p>
        </w:tc>
      </w:tr>
      <w:tr w:rsidR="00FB3D09" w:rsidRPr="004B6DC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4B6DCE" w:rsidRDefault="00FB3D09" w:rsidP="00822842">
            <w:pPr>
              <w:rPr>
                <w:rFonts w:ascii="Times New Roman" w:hAnsi="Times New Roman"/>
                <w:sz w:val="24"/>
              </w:rPr>
            </w:pPr>
            <w:r w:rsidRPr="004B6DC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РАЗМЕР НА ОЧАКВАНАТА ЗАГУБА</w:t>
            </w:r>
          </w:p>
          <w:p w14:paraId="693CE6D8" w14:textId="77777777" w:rsidR="00FB3D09" w:rsidRPr="004B6DCE" w:rsidRDefault="00FB3D09" w:rsidP="00822842">
            <w:pPr>
              <w:rPr>
                <w:rFonts w:ascii="Times New Roman" w:hAnsi="Times New Roman"/>
                <w:b/>
                <w:sz w:val="24"/>
              </w:rPr>
            </w:pPr>
            <w:r w:rsidRPr="004B6DCE">
              <w:rPr>
                <w:rFonts w:ascii="Times New Roman" w:hAnsi="Times New Roman"/>
                <w:sz w:val="24"/>
              </w:rPr>
              <w:t>Вж. указанията за CR-IRB.</w:t>
            </w:r>
          </w:p>
        </w:tc>
      </w:tr>
      <w:tr w:rsidR="00FB3D09" w:rsidRPr="004B6DC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4B6DCE" w:rsidRDefault="00FB3D09" w:rsidP="00822842">
            <w:pPr>
              <w:rPr>
                <w:rFonts w:ascii="Times New Roman" w:hAnsi="Times New Roman"/>
                <w:sz w:val="24"/>
              </w:rPr>
            </w:pPr>
            <w:r w:rsidRPr="004B6DC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 КОРЕКЦИИ НА СТОЙНОСТТА И ПРОВИЗИИ</w:t>
            </w:r>
          </w:p>
          <w:p w14:paraId="43E4B618" w14:textId="77777777" w:rsidR="00FB3D09" w:rsidRPr="004B6DCE" w:rsidRDefault="00FB3D09" w:rsidP="00822842">
            <w:pPr>
              <w:rPr>
                <w:rFonts w:ascii="Times New Roman" w:hAnsi="Times New Roman"/>
                <w:b/>
                <w:sz w:val="24"/>
              </w:rPr>
            </w:pPr>
            <w:r w:rsidRPr="004B6DCE">
              <w:rPr>
                <w:rFonts w:ascii="Times New Roman" w:hAnsi="Times New Roman"/>
                <w:sz w:val="24"/>
              </w:rPr>
              <w:t>Вж. указанията за CR-IRB.</w:t>
            </w:r>
          </w:p>
        </w:tc>
      </w:tr>
    </w:tbl>
    <w:p w14:paraId="53071A7C" w14:textId="77777777" w:rsidR="00FB3D09" w:rsidRPr="004B6DC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4B6DCE" w14:paraId="2FD73173" w14:textId="77777777" w:rsidTr="00822842">
        <w:tc>
          <w:tcPr>
            <w:tcW w:w="1129" w:type="dxa"/>
            <w:shd w:val="pct25" w:color="auto" w:fill="auto"/>
          </w:tcPr>
          <w:p w14:paraId="528FE156" w14:textId="77777777" w:rsidR="00FB3D09" w:rsidRPr="004B6DCE" w:rsidRDefault="00FB3D09" w:rsidP="00822842">
            <w:pPr>
              <w:rPr>
                <w:rFonts w:ascii="Times New Roman" w:hAnsi="Times New Roman"/>
                <w:sz w:val="24"/>
              </w:rPr>
            </w:pPr>
            <w:r w:rsidRPr="004B6DCE">
              <w:rPr>
                <w:rFonts w:ascii="Times New Roman" w:hAnsi="Times New Roman"/>
                <w:sz w:val="24"/>
              </w:rPr>
              <w:t>Редове</w:t>
            </w:r>
          </w:p>
        </w:tc>
        <w:tc>
          <w:tcPr>
            <w:tcW w:w="8931" w:type="dxa"/>
            <w:shd w:val="pct25" w:color="auto" w:fill="auto"/>
          </w:tcPr>
          <w:p w14:paraId="74C4755C"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13ABD6A4" w14:textId="77777777" w:rsidTr="00822842">
        <w:tc>
          <w:tcPr>
            <w:tcW w:w="1129" w:type="dxa"/>
          </w:tcPr>
          <w:p w14:paraId="6D90D953" w14:textId="77777777" w:rsidR="00FB3D09" w:rsidRPr="004B6DCE" w:rsidRDefault="00FB3D09" w:rsidP="00822842">
            <w:pPr>
              <w:rPr>
                <w:rFonts w:ascii="Times New Roman" w:hAnsi="Times New Roman"/>
                <w:sz w:val="24"/>
              </w:rPr>
            </w:pPr>
            <w:r w:rsidRPr="004B6DCE">
              <w:rPr>
                <w:rFonts w:ascii="Times New Roman" w:hAnsi="Times New Roman"/>
                <w:sz w:val="24"/>
              </w:rPr>
              <w:t>0010-0120</w:t>
            </w:r>
          </w:p>
        </w:tc>
        <w:tc>
          <w:tcPr>
            <w:tcW w:w="8931" w:type="dxa"/>
          </w:tcPr>
          <w:p w14:paraId="68EE291B" w14:textId="77777777" w:rsidR="00FB3D09" w:rsidRPr="004B6DCE" w:rsidRDefault="00FB3D09" w:rsidP="00822842">
            <w:pPr>
              <w:rPr>
                <w:rFonts w:ascii="Times New Roman" w:hAnsi="Times New Roman"/>
                <w:sz w:val="24"/>
              </w:rPr>
            </w:pPr>
            <w:r w:rsidRPr="004B6DCE">
              <w:rPr>
                <w:rFonts w:ascii="Times New Roman" w:hAnsi="Times New Roman"/>
                <w:sz w:val="24"/>
              </w:rPr>
              <w:t>Експозициите се разпределят към съответната категория и падеж в съответствие с член 153, параграф 5, таблица 1 от Регламент (ЕС) № 575/2013.</w:t>
            </w:r>
          </w:p>
        </w:tc>
      </w:tr>
    </w:tbl>
    <w:p w14:paraId="4255FF49" w14:textId="77777777" w:rsidR="00FB3D09" w:rsidRPr="004B6DCE" w:rsidRDefault="00FB3D09" w:rsidP="00FB3D09">
      <w:pPr>
        <w:pStyle w:val="body"/>
      </w:pPr>
    </w:p>
    <w:p w14:paraId="782F65B6" w14:textId="77777777" w:rsidR="00FB3D09" w:rsidRPr="004B6DCE" w:rsidRDefault="00FB3D09" w:rsidP="008C13A4">
      <w:pPr>
        <w:pStyle w:val="Instructionsberschrift2"/>
        <w:numPr>
          <w:ilvl w:val="2"/>
          <w:numId w:val="21"/>
        </w:numPr>
        <w:rPr>
          <w:rFonts w:ascii="Times New Roman" w:hAnsi="Times New Roman" w:cs="Times New Roman"/>
          <w:sz w:val="24"/>
        </w:rPr>
      </w:pPr>
      <w:bookmarkStart w:id="132" w:name="_Toc151714413"/>
      <w:r w:rsidRPr="004B6DCE">
        <w:rPr>
          <w:rFonts w:ascii="Times New Roman" w:hAnsi="Times New Roman"/>
          <w:sz w:val="24"/>
        </w:rPr>
        <w:lastRenderedPageBreak/>
        <w:t>C 08.07 — Кредитен риск и свободни доставки: вътрешнорейтингов поход към капиталовите изисквания (обхват на използване на вътрешнорейтинговите и стандартизираните подходи/CR IRB 7)</w:t>
      </w:r>
      <w:bookmarkEnd w:id="131"/>
      <w:bookmarkEnd w:id="132"/>
    </w:p>
    <w:p w14:paraId="4D5E0149"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sidRPr="004B6DCE">
        <w:rPr>
          <w:rFonts w:ascii="Times New Roman" w:hAnsi="Times New Roman"/>
          <w:sz w:val="24"/>
        </w:rPr>
        <w:t>Общи бележки</w:t>
      </w:r>
      <w:bookmarkEnd w:id="133"/>
      <w:bookmarkEnd w:id="134"/>
    </w:p>
    <w:p w14:paraId="2A642543" w14:textId="77777777" w:rsidR="00FB3D09" w:rsidRPr="004B6DCE" w:rsidRDefault="00FB3D09" w:rsidP="00FB3D09">
      <w:pPr>
        <w:pStyle w:val="InstructionsText2"/>
        <w:numPr>
          <w:ilvl w:val="0"/>
          <w:numId w:val="0"/>
        </w:numPr>
        <w:ind w:left="993"/>
      </w:pPr>
      <w:r w:rsidRPr="004B6DCE">
        <w:fldChar w:fldCharType="begin"/>
      </w:r>
      <w:r w:rsidRPr="004B6DCE">
        <w:instrText>seq paragraphs</w:instrText>
      </w:r>
      <w:r w:rsidRPr="004B6DCE">
        <w:fldChar w:fldCharType="separate"/>
      </w:r>
      <w:r w:rsidRPr="004B6DCE">
        <w:t>83</w:t>
      </w:r>
      <w:r w:rsidRPr="004B6DCE">
        <w:fldChar w:fldCharType="end"/>
      </w:r>
      <w:r w:rsidRPr="004B6DCE">
        <w:t>. За целите на настоящия образец институциите, които изчисляват рисково претеглените размери на експозициите си чрез вътрешнорейтинговия подход за кредитен риск, разпределят експозициите си, за които се прилага стандартизираният подход, предвиден в трета част, дял II, глава 2 от Регламент (ЕС) № 575/2013, или вътрешнорейтинговият подход, предвиден в трета част, дял II, глава 3 от същия регламент, както и частта от всеки клас експозиции, за която се прилага план за въвеждане. Институциите включват информацията в този образец по класове експозиции в съответствие с разбивката на класовете експозиции, включени в редовете на образеца.</w:t>
      </w:r>
    </w:p>
    <w:p w14:paraId="5EF649B7" w14:textId="77777777" w:rsidR="00FB3D09" w:rsidRPr="004B6DCE" w:rsidRDefault="00FB3D09" w:rsidP="00FB3D09">
      <w:pPr>
        <w:pStyle w:val="InstructionsText2"/>
        <w:numPr>
          <w:ilvl w:val="0"/>
          <w:numId w:val="0"/>
        </w:numPr>
        <w:ind w:left="993"/>
      </w:pPr>
      <w:r w:rsidRPr="004B6DCE">
        <w:fldChar w:fldCharType="begin"/>
      </w:r>
      <w:r w:rsidRPr="004B6DCE">
        <w:instrText>seq paragraphs</w:instrText>
      </w:r>
      <w:r w:rsidRPr="004B6DCE">
        <w:fldChar w:fldCharType="separate"/>
      </w:r>
      <w:r w:rsidRPr="004B6DCE">
        <w:t>84</w:t>
      </w:r>
      <w:r w:rsidRPr="004B6DCE">
        <w:fldChar w:fldCharType="end"/>
      </w:r>
      <w:r w:rsidRPr="004B6DCE">
        <w:t>. Колони 0030—0050 следва да обхващат целия спектър от експозиции, така че сборът на всеки ред за тези три колони следва да бъде 100 % от всички класове експозиции, с изключение на секюритизиращите позиции и приспаднатите позиции.</w:t>
      </w:r>
    </w:p>
    <w:p w14:paraId="2976CB2C" w14:textId="77777777" w:rsidR="00FB3D09" w:rsidRPr="004B6DC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sidRPr="004B6DCE">
        <w:rPr>
          <w:rFonts w:ascii="Times New Roman" w:hAnsi="Times New Roman"/>
          <w:sz w:val="24"/>
        </w:rPr>
        <w:t>Указания относно конкретни позиции</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4B6DCE" w14:paraId="5A54A3CB" w14:textId="77777777" w:rsidTr="00822842">
        <w:tc>
          <w:tcPr>
            <w:tcW w:w="1188" w:type="dxa"/>
            <w:shd w:val="clear" w:color="auto" w:fill="CCCCCC"/>
          </w:tcPr>
          <w:p w14:paraId="4D5D1AB8" w14:textId="77777777" w:rsidR="00FB3D09" w:rsidRPr="004B6DCE" w:rsidRDefault="00FB3D09" w:rsidP="00822842">
            <w:pPr>
              <w:rPr>
                <w:rFonts w:ascii="Times New Roman" w:hAnsi="Times New Roman"/>
                <w:sz w:val="24"/>
              </w:rPr>
            </w:pPr>
            <w:r w:rsidRPr="004B6DCE">
              <w:rPr>
                <w:rFonts w:ascii="Times New Roman" w:hAnsi="Times New Roman"/>
                <w:sz w:val="24"/>
              </w:rPr>
              <w:t>Колони</w:t>
            </w:r>
          </w:p>
        </w:tc>
        <w:tc>
          <w:tcPr>
            <w:tcW w:w="8843" w:type="dxa"/>
            <w:shd w:val="clear" w:color="auto" w:fill="CCCCCC"/>
          </w:tcPr>
          <w:p w14:paraId="07D6E67B"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ОБЩА СТОЙНОСТ НА ЕКСПОЗИЦИЯТА СЪГЛАСНО ОПРЕДЕЛЕНИЕТО В ЧЛЕН 166 ОТ РЕГЛАМЕНТ (ЕС) № 575/2013</w:t>
            </w:r>
          </w:p>
          <w:p w14:paraId="411002F2" w14:textId="77777777" w:rsidR="00FB3D09" w:rsidRPr="004B6DCE" w:rsidRDefault="00FB3D09" w:rsidP="00822842">
            <w:pPr>
              <w:rPr>
                <w:rFonts w:ascii="Times New Roman" w:hAnsi="Times New Roman"/>
                <w:b/>
                <w:sz w:val="24"/>
              </w:rPr>
            </w:pPr>
            <w:r w:rsidRPr="004B6DCE">
              <w:rPr>
                <w:rFonts w:ascii="Times New Roman" w:hAnsi="Times New Roman"/>
                <w:sz w:val="24"/>
              </w:rPr>
              <w:t>Институциите използват стойността на експозицията преди редуциране на кредитния риск в съответствие с член 166 от Регламент (ЕС) № 575/2013.</w:t>
            </w:r>
          </w:p>
        </w:tc>
      </w:tr>
      <w:tr w:rsidR="00FB3D09" w:rsidRPr="004B6DC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4B6DCE" w:rsidRDefault="00FB3D09" w:rsidP="00822842">
            <w:pPr>
              <w:rPr>
                <w:rStyle w:val="InstructionsTabelleText"/>
                <w:rFonts w:ascii="Times New Roman" w:hAnsi="Times New Roman"/>
                <w:sz w:val="24"/>
              </w:rPr>
            </w:pPr>
            <w:r w:rsidRPr="004B6DCE">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ОБЩА СТОЙНОСТ НА ЕКСПОЗИЦИЯТА, ЗА КОЯТО СЕ ПРИЛАГА СТАНДАРТИЗИРАН ПОДХОД И ВЪТРЕШНОРЕЙТИНГОВ ПОДХОД</w:t>
            </w:r>
          </w:p>
          <w:p w14:paraId="2CF123A9" w14:textId="77777777" w:rsidR="00FB3D09" w:rsidRPr="004B6DCE" w:rsidRDefault="00FB3D09" w:rsidP="00822842">
            <w:pPr>
              <w:rPr>
                <w:rFonts w:ascii="Times New Roman" w:hAnsi="Times New Roman"/>
                <w:sz w:val="24"/>
              </w:rPr>
            </w:pPr>
            <w:r w:rsidRPr="004B6DCE">
              <w:rPr>
                <w:rFonts w:ascii="Times New Roman" w:hAnsi="Times New Roman"/>
                <w:sz w:val="24"/>
              </w:rPr>
              <w:t>Институциите използват стойността на експозицията преди редуциране на кредитния риск в съответствие с член 429, параграф 4 от Регламент (ЕС) № 575/2013, когато докладват общата стойност на експозицията, в т.ч. експозициите съгласно стандартизирания подход и експозициите съгласно вътрешнорейтинговия подход.</w:t>
            </w:r>
          </w:p>
        </w:tc>
      </w:tr>
      <w:tr w:rsidR="00FB3D09" w:rsidRPr="004B6DC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4B6DCE" w:rsidRDefault="00FB3D09" w:rsidP="00822842">
            <w:pPr>
              <w:rPr>
                <w:rFonts w:ascii="Times New Roman" w:hAnsi="Times New Roman"/>
                <w:sz w:val="24"/>
              </w:rPr>
            </w:pPr>
            <w:r w:rsidRPr="004B6DC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ПРОЦЕНТ ОТ ОБЩАТА СТОЙНОСТ НА ЕКСПОЗИЦИЯТА, ЗА КОЯТО СЕ ПРИЛАГА ПОСТОЯННО ЧАСТИЧНО ИЗПОЛЗВАНЕ НА СТАНДАРТИЗИРАНИЯ ПОДХОД (%)</w:t>
            </w:r>
          </w:p>
          <w:p w14:paraId="4E8BC7DA" w14:textId="77777777" w:rsidR="00FB3D09" w:rsidRPr="004B6DCE" w:rsidRDefault="00FB3D09" w:rsidP="00822842">
            <w:pPr>
              <w:rPr>
                <w:rFonts w:ascii="Times New Roman" w:hAnsi="Times New Roman"/>
                <w:sz w:val="24"/>
              </w:rPr>
            </w:pPr>
            <w:r w:rsidRPr="004B6DCE">
              <w:rPr>
                <w:rFonts w:ascii="Times New Roman" w:hAnsi="Times New Roman"/>
                <w:sz w:val="24"/>
              </w:rPr>
              <w:t>Частта от експозицията за всеки клас експозиции, за която се прилага стандартизираният подход (експозицията по стандартизирания подход преди редуциране на кредитния риск, спрямо общата експозиция в този клас експозиции в колона 0020), като се спазва обхватът на разрешението за постоянно частично използване на стандартизирания подход, получено от компетентен орган в съответствие с член 150 от Регламент (ЕС) № 575/2013.</w:t>
            </w:r>
          </w:p>
        </w:tc>
      </w:tr>
      <w:tr w:rsidR="00FB3D09" w:rsidRPr="004B6DC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4B6DCE" w:rsidRDefault="00FB3D09" w:rsidP="00822842">
            <w:pPr>
              <w:rPr>
                <w:rFonts w:ascii="Times New Roman" w:hAnsi="Times New Roman"/>
                <w:sz w:val="24"/>
              </w:rPr>
            </w:pPr>
            <w:r w:rsidRPr="004B6DC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ПРОЦЕНТ ОТ ОБЩАТА СТОЙНОСТ НА ЕКСПОЗИЦИЯТА, ЗА КОЯТО СЕ ПРИЛАГА ПЛАН ЗА ВЪВЕЖДАНЕ (%)</w:t>
            </w:r>
          </w:p>
          <w:p w14:paraId="1384B1B7"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 xml:space="preserve">Частта от експозицията за всеки клас експозиции, за която последователно се прилага вътрешнорейтинговият подход съгласно член 148 от Регламент (ЕС) № 575/2013. Тук спадат: </w:t>
            </w:r>
          </w:p>
          <w:p w14:paraId="64A26F0D" w14:textId="77777777" w:rsidR="00FB3D09" w:rsidRPr="004B6DCE" w:rsidRDefault="00FB3D09" w:rsidP="008C13A4">
            <w:pPr>
              <w:pStyle w:val="ListParagraph"/>
              <w:numPr>
                <w:ilvl w:val="0"/>
                <w:numId w:val="20"/>
              </w:numPr>
              <w:autoSpaceDE w:val="0"/>
              <w:autoSpaceDN w:val="0"/>
              <w:adjustRightInd w:val="0"/>
              <w:rPr>
                <w:rFonts w:ascii="Times New Roman" w:hAnsi="Times New Roman"/>
                <w:spacing w:val="-2"/>
                <w:sz w:val="24"/>
              </w:rPr>
            </w:pPr>
            <w:r w:rsidRPr="004B6DCE">
              <w:rPr>
                <w:rFonts w:ascii="Times New Roman" w:hAnsi="Times New Roman"/>
                <w:sz w:val="24"/>
              </w:rPr>
              <w:t xml:space="preserve">експозициите, за които институциите планират да прилагат вътрешнорейтинговия подход — както със, така и без собствени оценки на загубата при неизпълнение и собствени конверсионни коефициенти (F-IRB и A-IRB); </w:t>
            </w:r>
          </w:p>
          <w:p w14:paraId="468B410E" w14:textId="77777777" w:rsidR="00FB3D09" w:rsidRPr="004B6DCE" w:rsidRDefault="00FB3D09" w:rsidP="008C13A4">
            <w:pPr>
              <w:pStyle w:val="ListParagraph"/>
              <w:numPr>
                <w:ilvl w:val="0"/>
                <w:numId w:val="20"/>
              </w:numPr>
              <w:autoSpaceDE w:val="0"/>
              <w:autoSpaceDN w:val="0"/>
              <w:adjustRightInd w:val="0"/>
              <w:rPr>
                <w:rFonts w:ascii="Times New Roman" w:hAnsi="Times New Roman"/>
                <w:spacing w:val="-2"/>
                <w:sz w:val="24"/>
              </w:rPr>
            </w:pPr>
            <w:r w:rsidRPr="004B6DCE">
              <w:rPr>
                <w:rFonts w:ascii="Times New Roman" w:hAnsi="Times New Roman"/>
                <w:sz w:val="24"/>
              </w:rPr>
              <w:t>несъществени експозиции към капиталови инструменти, които не са включени в колони 0020 или 0040;</w:t>
            </w:r>
          </w:p>
          <w:p w14:paraId="674B8F2C" w14:textId="77777777" w:rsidR="00FB3D09" w:rsidRPr="004B6DCE" w:rsidRDefault="00FB3D09" w:rsidP="008C13A4">
            <w:pPr>
              <w:pStyle w:val="ListParagraph"/>
              <w:numPr>
                <w:ilvl w:val="0"/>
                <w:numId w:val="20"/>
              </w:numPr>
              <w:autoSpaceDE w:val="0"/>
              <w:autoSpaceDN w:val="0"/>
              <w:adjustRightInd w:val="0"/>
              <w:rPr>
                <w:rFonts w:ascii="Times New Roman" w:hAnsi="Times New Roman"/>
                <w:spacing w:val="-2"/>
                <w:sz w:val="24"/>
              </w:rPr>
            </w:pPr>
            <w:r w:rsidRPr="004B6DCE">
              <w:rPr>
                <w:rFonts w:ascii="Times New Roman" w:hAnsi="Times New Roman"/>
                <w:sz w:val="24"/>
              </w:rPr>
              <w:t xml:space="preserve">експозиции по F-IRB, за които институцията планира да прилага A-IRB в бъдеще; </w:t>
            </w:r>
          </w:p>
          <w:p w14:paraId="58C08A10" w14:textId="148DB963" w:rsidR="00FB3D09" w:rsidRPr="004B6DCE" w:rsidRDefault="00FB3D09" w:rsidP="008C13A4">
            <w:pPr>
              <w:pStyle w:val="ListParagraph"/>
              <w:numPr>
                <w:ilvl w:val="0"/>
                <w:numId w:val="20"/>
              </w:numPr>
              <w:autoSpaceDE w:val="0"/>
              <w:autoSpaceDN w:val="0"/>
              <w:adjustRightInd w:val="0"/>
              <w:rPr>
                <w:rFonts w:ascii="Times New Roman" w:hAnsi="Times New Roman"/>
                <w:spacing w:val="-2"/>
                <w:sz w:val="24"/>
              </w:rPr>
            </w:pPr>
            <w:r w:rsidRPr="004B6DCE">
              <w:rPr>
                <w:rFonts w:ascii="Times New Roman" w:hAnsi="Times New Roman"/>
                <w:sz w:val="24"/>
              </w:rPr>
              <w:t>експозиции по специализирано кредитиране съгласно надзорния разграничителен подход, които не са включени в колона 0010.</w:t>
            </w:r>
          </w:p>
        </w:tc>
      </w:tr>
      <w:tr w:rsidR="00FB3D09" w:rsidRPr="004B6DC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4B6DCE" w:rsidRDefault="00FB3D09" w:rsidP="00822842">
            <w:pPr>
              <w:rPr>
                <w:rFonts w:ascii="Times New Roman" w:hAnsi="Times New Roman"/>
                <w:sz w:val="24"/>
              </w:rPr>
            </w:pPr>
            <w:r w:rsidRPr="004B6DC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4B6DCE" w:rsidRDefault="00FB3D09" w:rsidP="00822842">
            <w:pPr>
              <w:rPr>
                <w:rFonts w:ascii="Times New Roman" w:hAnsi="Times New Roman"/>
                <w:b/>
                <w:sz w:val="24"/>
                <w:u w:val="single"/>
              </w:rPr>
            </w:pPr>
            <w:r w:rsidRPr="004B6DCE">
              <w:rPr>
                <w:rFonts w:ascii="Times New Roman" w:hAnsi="Times New Roman"/>
                <w:b/>
                <w:sz w:val="24"/>
                <w:u w:val="single"/>
              </w:rPr>
              <w:t>ПРОЦЕНТ ОТ ОБЩАТА СТОЙНОСТ НА ЕКСПОЗИЦИЯТА, ЗА КОЯТО СЕ ПРИЛАГА ВЪТРЕШНОРЕЙТИНГОВ ПОДХОД (%)</w:t>
            </w:r>
          </w:p>
          <w:p w14:paraId="281F622B" w14:textId="77777777" w:rsidR="00FB3D09" w:rsidRPr="004B6DCE" w:rsidRDefault="00FB3D09" w:rsidP="00822842">
            <w:pPr>
              <w:rPr>
                <w:rFonts w:ascii="Times New Roman" w:hAnsi="Times New Roman"/>
                <w:b/>
                <w:sz w:val="24"/>
              </w:rPr>
            </w:pPr>
            <w:r w:rsidRPr="004B6DCE">
              <w:rPr>
                <w:rFonts w:ascii="Times New Roman" w:hAnsi="Times New Roman"/>
                <w:sz w:val="24"/>
              </w:rPr>
              <w:t>Частта от експозицията за всеки клас експозиции, за която се прилага вътрешнорейтинговият подход (експозицията по вътрешнорейтинговия подход преди редуциране на кредитния риск, спрямо общата експозиция в този клас експозиции), като се спазва обхватът на полученото от компетентния орган разрешение за използване на вътрешнорейтинговия подход в съответствие с член 143 от Регламент (ЕС) № 575/2013. Тук се включват експозициите, за които институциите имат разрешение да използват или не собствени оценки на LGD и/или конверсионни коефициенти (F-IRB и A-IRB), включително надзорния разграничителен подход за експозиции по специализирано кредитиране и експозиции към капиталови инструменти по подхода за опростено определяне на рисковите тегла, докладвани в ред 0170 от образец C 08.01.</w:t>
            </w:r>
          </w:p>
        </w:tc>
      </w:tr>
    </w:tbl>
    <w:p w14:paraId="164F67EA" w14:textId="77777777" w:rsidR="00FB3D09" w:rsidRPr="004B6DC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985"/>
      </w:tblGrid>
      <w:tr w:rsidR="00FB3D09" w:rsidRPr="004B6DCE" w14:paraId="0A859347" w14:textId="77777777" w:rsidTr="00822842">
        <w:tc>
          <w:tcPr>
            <w:tcW w:w="1271" w:type="dxa"/>
            <w:shd w:val="pct25" w:color="auto" w:fill="auto"/>
          </w:tcPr>
          <w:p w14:paraId="7F52456F" w14:textId="77777777" w:rsidR="00FB3D09" w:rsidRPr="004B6DCE" w:rsidRDefault="00FB3D09" w:rsidP="00822842">
            <w:pPr>
              <w:rPr>
                <w:rFonts w:ascii="Times New Roman" w:hAnsi="Times New Roman"/>
                <w:sz w:val="24"/>
              </w:rPr>
            </w:pPr>
            <w:r w:rsidRPr="004B6DCE">
              <w:rPr>
                <w:rFonts w:ascii="Times New Roman" w:hAnsi="Times New Roman"/>
                <w:sz w:val="24"/>
              </w:rPr>
              <w:t>Редове</w:t>
            </w:r>
          </w:p>
        </w:tc>
        <w:tc>
          <w:tcPr>
            <w:tcW w:w="8557" w:type="dxa"/>
            <w:shd w:val="pct25" w:color="auto" w:fill="auto"/>
          </w:tcPr>
          <w:p w14:paraId="123EB3D4" w14:textId="77777777" w:rsidR="00FB3D09" w:rsidRPr="004B6DCE" w:rsidRDefault="00FB3D09" w:rsidP="00822842">
            <w:pPr>
              <w:rPr>
                <w:rFonts w:ascii="Times New Roman" w:hAnsi="Times New Roman"/>
                <w:sz w:val="24"/>
              </w:rPr>
            </w:pPr>
            <w:r w:rsidRPr="004B6DCE">
              <w:rPr>
                <w:rFonts w:ascii="Times New Roman" w:hAnsi="Times New Roman"/>
                <w:sz w:val="24"/>
              </w:rPr>
              <w:t>Указания</w:t>
            </w:r>
          </w:p>
        </w:tc>
      </w:tr>
      <w:tr w:rsidR="00FB3D09" w:rsidRPr="004B6DCE" w14:paraId="39EFDE98" w14:textId="77777777" w:rsidTr="00822842">
        <w:tc>
          <w:tcPr>
            <w:tcW w:w="1271" w:type="dxa"/>
          </w:tcPr>
          <w:p w14:paraId="416FB44E" w14:textId="77777777" w:rsidR="00FB3D09" w:rsidRPr="004B6DCE" w:rsidRDefault="00FB3D09" w:rsidP="00822842">
            <w:pPr>
              <w:rPr>
                <w:rFonts w:ascii="Times New Roman" w:hAnsi="Times New Roman"/>
                <w:sz w:val="24"/>
              </w:rPr>
            </w:pPr>
            <w:r w:rsidRPr="004B6DCE">
              <w:rPr>
                <w:rFonts w:ascii="Times New Roman" w:hAnsi="Times New Roman"/>
                <w:sz w:val="24"/>
              </w:rPr>
              <w:t>КЛАСОВЕ ЕКСПОЗИЦИИ</w:t>
            </w:r>
          </w:p>
        </w:tc>
        <w:tc>
          <w:tcPr>
            <w:tcW w:w="8557" w:type="dxa"/>
          </w:tcPr>
          <w:p w14:paraId="7564DFF0" w14:textId="77777777" w:rsidR="00FB3D09" w:rsidRPr="004B6DCE" w:rsidRDefault="00FB3D09" w:rsidP="00822842">
            <w:pPr>
              <w:rPr>
                <w:rFonts w:ascii="Times New Roman" w:eastAsiaTheme="minorHAnsi" w:hAnsi="Times New Roman"/>
                <w:sz w:val="24"/>
              </w:rPr>
            </w:pPr>
            <w:r w:rsidRPr="004B6DCE">
              <w:rPr>
                <w:rFonts w:ascii="Times New Roman" w:hAnsi="Times New Roman"/>
                <w:sz w:val="24"/>
              </w:rPr>
              <w:t>Институциите включват информацията в този образец по класове експозиции в съответствие с разбивката на класовете експозиции, включени в редовете на образеца.</w:t>
            </w:r>
          </w:p>
        </w:tc>
      </w:tr>
    </w:tbl>
    <w:p w14:paraId="423B2FFB" w14:textId="77777777" w:rsidR="00FB3D09" w:rsidRPr="004B6DCE" w:rsidRDefault="00FB3D09" w:rsidP="00FB3D09">
      <w:pPr>
        <w:pStyle w:val="InstructionsText"/>
      </w:pPr>
    </w:p>
    <w:p w14:paraId="64301D29" w14:textId="5498A6A8" w:rsidR="00FB3D09" w:rsidRPr="004B6DCE" w:rsidRDefault="00FB3D09" w:rsidP="003C214D">
      <w:pPr>
        <w:pStyle w:val="Instructionsberschrift2"/>
        <w:numPr>
          <w:ilvl w:val="0"/>
          <w:numId w:val="0"/>
        </w:numPr>
        <w:ind w:left="357" w:hanging="357"/>
      </w:pPr>
    </w:p>
    <w:p w14:paraId="6A9DD699" w14:textId="77777777" w:rsidR="00210485" w:rsidRPr="004B6DCE" w:rsidRDefault="00210485"/>
    <w:p w14:paraId="108DB657" w14:textId="77777777" w:rsidR="00FB3D09" w:rsidRPr="004B6DCE" w:rsidRDefault="00FB3D09"/>
    <w:p w14:paraId="31203373" w14:textId="77777777" w:rsidR="00FB3D09" w:rsidRPr="004B6DCE" w:rsidRDefault="00FB3D09"/>
    <w:p w14:paraId="32797964" w14:textId="77777777" w:rsidR="00210485" w:rsidRPr="004B6DCE" w:rsidRDefault="00210485"/>
    <w:sectPr w:rsidR="00210485" w:rsidRPr="004B6DC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2414E"/>
    <w:rsid w:val="004B6DC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AF5AA0"/>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bg-BG"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bg-BG"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bg-BG"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bg-BG"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bg-BG"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bg-BG"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bg-BG"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bg-BG"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bg-BG"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bg-BG"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bg-BG"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bg-BG"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bg-BG"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bg-BG"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bg-BG"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bg-BG"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bg-BG"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bg-BG"/>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bg-BG"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2.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04014018-DEFC-46A1-B083-126AFE6C5631}"/>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10466</Words>
  <Characters>55994</Characters>
  <Application>Microsoft Office Word</Application>
  <DocSecurity>0</DocSecurity>
  <Lines>1244</Lines>
  <Paragraphs>755</Paragraphs>
  <ScaleCrop>false</ScaleCrop>
  <Company/>
  <LinksUpToDate>false</LinksUpToDate>
  <CharactersWithSpaces>65705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2025-01-22T15:54:20Z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a4ea618f-e2b0-4f97-9abe-21267870e275</vt:lpwstr>
  </property>
  <property fmtid="{D5CDD505-2E9C-101B-9397-08002B2CF9AE}" pid="9" name="MSIP_Label_6bd9ddd1-4d20-43f6-abfa-fc3c07406f94_ContentBits">
    <vt:lpwstr>0</vt:lpwstr>
  </property>
</Properties>
</file>